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6784D1">
      <w:pPr>
        <w:pStyle w:val="23"/>
        <w:rPr>
          <w:rFonts w:hint="default" w:ascii="Times New Roman" w:hAnsi="Times New Roman" w:cs="Times New Roman"/>
          <w:sz w:val="28"/>
          <w:szCs w:val="28"/>
        </w:rPr>
      </w:pPr>
      <w:r>
        <w:rPr>
          <w:rFonts w:hint="default" w:ascii="Times New Roman" w:hAnsi="Times New Roman" w:cs="Times New Roman"/>
          <w:b/>
          <w:bCs/>
          <w:sz w:val="28"/>
          <w:szCs w:val="28"/>
        </w:rPr>
        <w:t>15. Мектеп директорлары мен директордың орынбасарларының сабаққа қатысу парақтарының сапасы мен саны туралы есеп</w:t>
      </w:r>
    </w:p>
    <w:p w14:paraId="29F10770">
      <w:pPr>
        <w:pStyle w:val="2"/>
        <w:rPr>
          <w:rFonts w:hint="default" w:ascii="Times New Roman" w:hAnsi="Times New Roman" w:cs="Times New Roman"/>
          <w:b/>
          <w:bCs/>
          <w:sz w:val="28"/>
          <w:szCs w:val="28"/>
        </w:rPr>
      </w:pPr>
      <w:bookmarkStart w:id="0" w:name="X8af1bdfc824b4fd6a64934997045cbc1cafb213"/>
      <w:r>
        <w:rPr>
          <w:rFonts w:hint="default" w:ascii="Times New Roman" w:hAnsi="Times New Roman" w:cs="Times New Roman"/>
          <w:b/>
          <w:bCs/>
          <w:sz w:val="28"/>
          <w:szCs w:val="28"/>
        </w:rPr>
        <w:t>Қарақол ауылының жалпы орта білім беретін мектебі КММ-нің мектеп әкімшілігінің сабақтарға қатысу парақтарының сапасы мен саны туралы есебі</w:t>
      </w:r>
    </w:p>
    <w:p w14:paraId="0A9428B1">
      <w:pPr>
        <w:pStyle w:val="23"/>
        <w:rPr>
          <w:rFonts w:hint="default" w:ascii="Times New Roman" w:hAnsi="Times New Roman" w:cs="Times New Roman"/>
          <w:sz w:val="28"/>
          <w:szCs w:val="28"/>
        </w:rPr>
      </w:pPr>
      <w:r>
        <w:rPr>
          <w:rFonts w:hint="default" w:ascii="Times New Roman" w:hAnsi="Times New Roman" w:cs="Times New Roman"/>
          <w:b/>
          <w:bCs/>
          <w:sz w:val="28"/>
          <w:szCs w:val="28"/>
        </w:rPr>
        <w:t>2025–2026 оқу жылы</w:t>
      </w:r>
    </w:p>
    <w:p w14:paraId="3AD9D450">
      <w:pPr>
        <w:pStyle w:val="3"/>
        <w:rPr>
          <w:rFonts w:hint="default" w:ascii="Times New Roman" w:hAnsi="Times New Roman" w:cs="Times New Roman"/>
          <w:sz w:val="28"/>
          <w:szCs w:val="28"/>
        </w:rPr>
      </w:pPr>
      <w:r>
        <w:rPr>
          <w:rFonts w:hint="default" w:ascii="Times New Roman" w:hAnsi="Times New Roman" w:cs="Times New Roman"/>
          <w:sz w:val="28"/>
          <w:szCs w:val="28"/>
        </w:rPr>
        <w:t>Мектепішілік бақылау жоспарына сәйкес оқу жылы бойы мектеп әкімшілігі сабақтарға жүйелі түрде қатысып отырды. Сабақтарға қатысудың мақсаты – оқыту сапасына мониторинг жүргізу, педагогтерге әдістемелік көмек көрсету, пәндердің оқытылу жағдайын зерделеу және білім беру үдерісінің тиімділігін арттыру болды.</w:t>
      </w:r>
    </w:p>
    <w:p w14:paraId="455F748E">
      <w:pPr>
        <w:pStyle w:val="3"/>
        <w:rPr>
          <w:rFonts w:hint="default" w:ascii="Times New Roman" w:hAnsi="Times New Roman" w:cs="Times New Roman"/>
          <w:sz w:val="28"/>
          <w:szCs w:val="28"/>
        </w:rPr>
      </w:pPr>
      <w:r>
        <w:rPr>
          <w:rFonts w:hint="default" w:ascii="Times New Roman" w:hAnsi="Times New Roman" w:cs="Times New Roman"/>
          <w:sz w:val="28"/>
          <w:szCs w:val="28"/>
        </w:rPr>
        <w:t>Сабақтарға қатысу мектеп директоры және әдістемелік бірлестік жетекшілері тарапынан бекітілген бақылау кестесіне сәйкес жүзеге асырылды.</w:t>
      </w:r>
    </w:p>
    <w:p w14:paraId="2607366D">
      <w:pPr>
        <w:pStyle w:val="3"/>
        <w:rPr>
          <w:rFonts w:hint="default" w:ascii="Times New Roman" w:hAnsi="Times New Roman" w:cs="Times New Roman"/>
          <w:sz w:val="28"/>
          <w:szCs w:val="28"/>
        </w:rPr>
      </w:pPr>
      <w:r>
        <w:rPr>
          <w:rFonts w:hint="default" w:ascii="Times New Roman" w:hAnsi="Times New Roman" w:cs="Times New Roman"/>
          <w:sz w:val="28"/>
          <w:szCs w:val="28"/>
        </w:rPr>
        <w:t xml:space="preserve">Есептік кезеңде мектеп әкімшілігі тарапынан </w:t>
      </w:r>
      <w:r>
        <w:rPr>
          <w:rFonts w:hint="default" w:ascii="Times New Roman" w:hAnsi="Times New Roman" w:cs="Times New Roman"/>
          <w:b/>
          <w:bCs/>
          <w:sz w:val="28"/>
          <w:szCs w:val="28"/>
        </w:rPr>
        <w:t>93 сабаққа қатысу жүргізіліп, 93 сабаққа қатысу парағы рәсімделді</w:t>
      </w:r>
      <w:r>
        <w:rPr>
          <w:rFonts w:hint="default" w:ascii="Times New Roman" w:hAnsi="Times New Roman" w:cs="Times New Roman"/>
          <w:sz w:val="28"/>
          <w:szCs w:val="28"/>
        </w:rPr>
        <w:t xml:space="preserve">, бұл мектепішілік бақылаудың жоспарланған көлемінің </w:t>
      </w:r>
      <w:r>
        <w:rPr>
          <w:rFonts w:hint="default" w:ascii="Times New Roman" w:hAnsi="Times New Roman" w:cs="Times New Roman"/>
          <w:b/>
          <w:bCs/>
          <w:sz w:val="28"/>
          <w:szCs w:val="28"/>
        </w:rPr>
        <w:t>100%-ын</w:t>
      </w:r>
      <w:r>
        <w:rPr>
          <w:rFonts w:hint="default" w:ascii="Times New Roman" w:hAnsi="Times New Roman" w:cs="Times New Roman"/>
          <w:sz w:val="28"/>
          <w:szCs w:val="28"/>
        </w:rPr>
        <w:t xml:space="preserve"> құрайды.</w:t>
      </w:r>
    </w:p>
    <w:p w14:paraId="4DB26289">
      <w:pPr>
        <w:pStyle w:val="3"/>
        <w:rPr>
          <w:rFonts w:hint="default" w:ascii="Times New Roman" w:hAnsi="Times New Roman" w:cs="Times New Roman"/>
          <w:sz w:val="28"/>
          <w:szCs w:val="28"/>
        </w:rPr>
      </w:pPr>
      <w:r>
        <w:rPr>
          <w:rFonts w:hint="default" w:ascii="Times New Roman" w:hAnsi="Times New Roman" w:cs="Times New Roman"/>
          <w:b/>
          <w:bCs/>
          <w:sz w:val="28"/>
          <w:szCs w:val="28"/>
        </w:rPr>
        <w:t>Әкімшілік санаттары бойынша сабақтарға қатысу көрсеткіштері</w:t>
      </w:r>
    </w:p>
    <w:tbl>
      <w:tblPr>
        <w:tblStyle w:val="41"/>
        <w:tblW w:w="0" w:type="auto"/>
        <w:tblInd w:w="0" w:type="dxa"/>
        <w:tblLayout w:type="autofit"/>
        <w:tblCellMar>
          <w:top w:w="0" w:type="dxa"/>
          <w:left w:w="108" w:type="dxa"/>
          <w:bottom w:w="0" w:type="dxa"/>
          <w:right w:w="108" w:type="dxa"/>
        </w:tblCellMar>
      </w:tblPr>
      <w:tblGrid>
        <w:gridCol w:w="484"/>
        <w:gridCol w:w="1829"/>
        <w:gridCol w:w="3030"/>
        <w:gridCol w:w="3180"/>
      </w:tblGrid>
      <w:tr w14:paraId="5A80C4F9">
        <w:trPr>
          <w:tblHeader/>
        </w:trPr>
        <w:tc>
          <w:tcPr>
            <w:tcBorders>
              <w:top w:val="single" w:color="auto" w:sz="4" w:space="0"/>
              <w:left w:val="single" w:color="auto" w:sz="4" w:space="0"/>
              <w:bottom w:val="single" w:color="auto" w:sz="4" w:space="0"/>
              <w:right w:val="single" w:color="auto" w:sz="4" w:space="0"/>
            </w:tcBorders>
          </w:tcPr>
          <w:p w14:paraId="0E7D797A">
            <w:pPr>
              <w:pStyle w:val="24"/>
              <w:rPr>
                <w:rFonts w:hint="default" w:ascii="Times New Roman" w:hAnsi="Times New Roman" w:cs="Times New Roman"/>
                <w:sz w:val="28"/>
                <w:szCs w:val="28"/>
              </w:rPr>
            </w:pPr>
            <w:r>
              <w:rPr>
                <w:rFonts w:hint="default" w:ascii="Times New Roman" w:hAnsi="Times New Roman" w:cs="Times New Roman"/>
                <w:sz w:val="28"/>
                <w:szCs w:val="28"/>
              </w:rPr>
              <w:t>№</w:t>
            </w:r>
          </w:p>
        </w:tc>
        <w:tc>
          <w:tcPr>
            <w:tcW w:w="1829" w:type="dxa"/>
            <w:tcBorders>
              <w:top w:val="single" w:color="auto" w:sz="4" w:space="0"/>
              <w:left w:val="single" w:color="auto" w:sz="4" w:space="0"/>
              <w:bottom w:val="single" w:color="auto" w:sz="4" w:space="0"/>
              <w:right w:val="single" w:color="auto" w:sz="4" w:space="0"/>
            </w:tcBorders>
          </w:tcPr>
          <w:p w14:paraId="37523BEC">
            <w:pPr>
              <w:pStyle w:val="24"/>
              <w:rPr>
                <w:rFonts w:hint="default" w:ascii="Times New Roman" w:hAnsi="Times New Roman" w:cs="Times New Roman"/>
                <w:sz w:val="28"/>
                <w:szCs w:val="28"/>
              </w:rPr>
            </w:pPr>
            <w:r>
              <w:rPr>
                <w:rFonts w:hint="default" w:ascii="Times New Roman" w:hAnsi="Times New Roman" w:cs="Times New Roman"/>
                <w:sz w:val="28"/>
                <w:szCs w:val="28"/>
              </w:rPr>
              <w:t>Айы</w:t>
            </w:r>
          </w:p>
        </w:tc>
        <w:tc>
          <w:tcPr>
            <w:tcW w:w="3030" w:type="dxa"/>
            <w:tcBorders>
              <w:top w:val="single" w:color="auto" w:sz="4" w:space="0"/>
              <w:left w:val="single" w:color="auto" w:sz="4" w:space="0"/>
              <w:bottom w:val="single" w:color="auto" w:sz="4" w:space="0"/>
              <w:right w:val="single" w:color="auto" w:sz="4" w:space="0"/>
            </w:tcBorders>
          </w:tcPr>
          <w:p w14:paraId="3A7C9C97">
            <w:pPr>
              <w:pStyle w:val="24"/>
              <w:rPr>
                <w:rFonts w:hint="default" w:ascii="Times New Roman" w:hAnsi="Times New Roman" w:cs="Times New Roman"/>
                <w:sz w:val="28"/>
                <w:szCs w:val="28"/>
              </w:rPr>
            </w:pPr>
            <w:r>
              <w:rPr>
                <w:rFonts w:hint="default" w:ascii="Times New Roman" w:hAnsi="Times New Roman" w:cs="Times New Roman"/>
                <w:sz w:val="28"/>
                <w:szCs w:val="28"/>
              </w:rPr>
              <w:t>Мектеп директоры</w:t>
            </w:r>
          </w:p>
        </w:tc>
        <w:tc>
          <w:tcPr>
            <w:tcW w:w="3180" w:type="dxa"/>
            <w:tcBorders>
              <w:top w:val="single" w:color="auto" w:sz="4" w:space="0"/>
              <w:left w:val="single" w:color="auto" w:sz="4" w:space="0"/>
              <w:bottom w:val="single" w:color="auto" w:sz="4" w:space="0"/>
              <w:right w:val="single" w:color="auto" w:sz="4" w:space="0"/>
            </w:tcBorders>
          </w:tcPr>
          <w:p w14:paraId="4F49AB18">
            <w:pPr>
              <w:pStyle w:val="24"/>
              <w:rPr>
                <w:rFonts w:hint="default" w:ascii="Times New Roman" w:hAnsi="Times New Roman" w:cs="Times New Roman"/>
                <w:sz w:val="28"/>
                <w:szCs w:val="28"/>
              </w:rPr>
            </w:pPr>
            <w:r>
              <w:rPr>
                <w:rFonts w:hint="default" w:ascii="Times New Roman" w:hAnsi="Times New Roman" w:cs="Times New Roman"/>
                <w:sz w:val="28"/>
                <w:szCs w:val="28"/>
              </w:rPr>
              <w:t>ӘБ жетекшілері</w:t>
            </w:r>
          </w:p>
        </w:tc>
      </w:tr>
      <w:tr w14:paraId="28011F2D">
        <w:tblPrEx>
          <w:tblCellMar>
            <w:top w:w="0" w:type="dxa"/>
            <w:left w:w="108" w:type="dxa"/>
            <w:bottom w:w="0" w:type="dxa"/>
            <w:right w:w="108" w:type="dxa"/>
          </w:tblCellMar>
        </w:tblPrEx>
        <w:tc>
          <w:tcPr>
            <w:tcBorders>
              <w:top w:val="single" w:color="auto" w:sz="4" w:space="0"/>
              <w:left w:val="single" w:color="auto" w:sz="4" w:space="0"/>
              <w:bottom w:val="single" w:color="auto" w:sz="4" w:space="0"/>
              <w:right w:val="single" w:color="auto" w:sz="4" w:space="0"/>
            </w:tcBorders>
          </w:tcPr>
          <w:p w14:paraId="3C0573A4">
            <w:pPr>
              <w:pStyle w:val="24"/>
              <w:rPr>
                <w:rFonts w:hint="default" w:ascii="Times New Roman" w:hAnsi="Times New Roman" w:cs="Times New Roman"/>
                <w:sz w:val="28"/>
                <w:szCs w:val="28"/>
              </w:rPr>
            </w:pPr>
            <w:r>
              <w:rPr>
                <w:rFonts w:hint="default" w:ascii="Times New Roman" w:hAnsi="Times New Roman" w:cs="Times New Roman"/>
                <w:sz w:val="28"/>
                <w:szCs w:val="28"/>
              </w:rPr>
              <w:t>1</w:t>
            </w:r>
          </w:p>
        </w:tc>
        <w:tc>
          <w:tcPr>
            <w:tcW w:w="1829" w:type="dxa"/>
            <w:tcBorders>
              <w:top w:val="single" w:color="auto" w:sz="4" w:space="0"/>
              <w:left w:val="single" w:color="auto" w:sz="4" w:space="0"/>
              <w:bottom w:val="single" w:color="auto" w:sz="4" w:space="0"/>
              <w:right w:val="single" w:color="auto" w:sz="4" w:space="0"/>
            </w:tcBorders>
          </w:tcPr>
          <w:p w14:paraId="6D49BCB8">
            <w:pPr>
              <w:pStyle w:val="24"/>
              <w:rPr>
                <w:rFonts w:hint="default" w:ascii="Times New Roman" w:hAnsi="Times New Roman" w:cs="Times New Roman"/>
                <w:sz w:val="28"/>
                <w:szCs w:val="28"/>
              </w:rPr>
            </w:pPr>
            <w:r>
              <w:rPr>
                <w:rFonts w:hint="default" w:ascii="Times New Roman" w:hAnsi="Times New Roman" w:cs="Times New Roman"/>
                <w:sz w:val="28"/>
                <w:szCs w:val="28"/>
              </w:rPr>
              <w:t>Қыркүйек</w:t>
            </w:r>
          </w:p>
        </w:tc>
        <w:tc>
          <w:tcPr>
            <w:tcW w:w="3030" w:type="dxa"/>
            <w:tcBorders>
              <w:top w:val="single" w:color="auto" w:sz="4" w:space="0"/>
              <w:left w:val="single" w:color="auto" w:sz="4" w:space="0"/>
              <w:bottom w:val="single" w:color="auto" w:sz="4" w:space="0"/>
              <w:right w:val="single" w:color="auto" w:sz="4" w:space="0"/>
            </w:tcBorders>
          </w:tcPr>
          <w:p w14:paraId="4ACD838F">
            <w:pPr>
              <w:pStyle w:val="24"/>
              <w:rPr>
                <w:rFonts w:hint="default" w:ascii="Times New Roman" w:hAnsi="Times New Roman" w:cs="Times New Roman"/>
                <w:sz w:val="28"/>
                <w:szCs w:val="28"/>
              </w:rPr>
            </w:pPr>
            <w:r>
              <w:rPr>
                <w:rFonts w:hint="default" w:ascii="Times New Roman" w:hAnsi="Times New Roman" w:cs="Times New Roman"/>
                <w:sz w:val="28"/>
                <w:szCs w:val="28"/>
              </w:rPr>
              <w:t>3</w:t>
            </w:r>
          </w:p>
        </w:tc>
        <w:tc>
          <w:tcPr>
            <w:tcW w:w="3180" w:type="dxa"/>
            <w:tcBorders>
              <w:top w:val="single" w:color="auto" w:sz="4" w:space="0"/>
              <w:left w:val="single" w:color="auto" w:sz="4" w:space="0"/>
              <w:bottom w:val="single" w:color="auto" w:sz="4" w:space="0"/>
              <w:right w:val="single" w:color="auto" w:sz="4" w:space="0"/>
            </w:tcBorders>
          </w:tcPr>
          <w:p w14:paraId="3A55E003">
            <w:pPr>
              <w:pStyle w:val="24"/>
              <w:rPr>
                <w:rFonts w:hint="default" w:ascii="Times New Roman" w:hAnsi="Times New Roman" w:cs="Times New Roman"/>
                <w:sz w:val="28"/>
                <w:szCs w:val="28"/>
              </w:rPr>
            </w:pPr>
            <w:r>
              <w:rPr>
                <w:rFonts w:hint="default" w:ascii="Times New Roman" w:hAnsi="Times New Roman" w:cs="Times New Roman"/>
                <w:sz w:val="28"/>
                <w:szCs w:val="28"/>
              </w:rPr>
              <w:t>6</w:t>
            </w:r>
          </w:p>
        </w:tc>
      </w:tr>
      <w:tr w14:paraId="0961666D">
        <w:tblPrEx>
          <w:tblCellMar>
            <w:top w:w="0" w:type="dxa"/>
            <w:left w:w="108" w:type="dxa"/>
            <w:bottom w:w="0" w:type="dxa"/>
            <w:right w:w="108" w:type="dxa"/>
          </w:tblCellMar>
        </w:tblPrEx>
        <w:tc>
          <w:tcPr>
            <w:tcBorders>
              <w:top w:val="single" w:color="auto" w:sz="4" w:space="0"/>
              <w:left w:val="single" w:color="auto" w:sz="4" w:space="0"/>
              <w:bottom w:val="single" w:color="auto" w:sz="4" w:space="0"/>
              <w:right w:val="single" w:color="auto" w:sz="4" w:space="0"/>
            </w:tcBorders>
          </w:tcPr>
          <w:p w14:paraId="0BCDFB84">
            <w:pPr>
              <w:pStyle w:val="24"/>
              <w:rPr>
                <w:rFonts w:hint="default" w:ascii="Times New Roman" w:hAnsi="Times New Roman" w:cs="Times New Roman"/>
                <w:sz w:val="28"/>
                <w:szCs w:val="28"/>
              </w:rPr>
            </w:pPr>
            <w:r>
              <w:rPr>
                <w:rFonts w:hint="default" w:ascii="Times New Roman" w:hAnsi="Times New Roman" w:cs="Times New Roman"/>
                <w:sz w:val="28"/>
                <w:szCs w:val="28"/>
              </w:rPr>
              <w:t>2</w:t>
            </w:r>
          </w:p>
        </w:tc>
        <w:tc>
          <w:tcPr>
            <w:tcW w:w="1829" w:type="dxa"/>
            <w:tcBorders>
              <w:top w:val="single" w:color="auto" w:sz="4" w:space="0"/>
              <w:left w:val="single" w:color="auto" w:sz="4" w:space="0"/>
              <w:bottom w:val="single" w:color="auto" w:sz="4" w:space="0"/>
              <w:right w:val="single" w:color="auto" w:sz="4" w:space="0"/>
            </w:tcBorders>
          </w:tcPr>
          <w:p w14:paraId="5D12CC6F">
            <w:pPr>
              <w:pStyle w:val="24"/>
              <w:rPr>
                <w:rFonts w:hint="default" w:ascii="Times New Roman" w:hAnsi="Times New Roman" w:cs="Times New Roman"/>
                <w:sz w:val="28"/>
                <w:szCs w:val="28"/>
              </w:rPr>
            </w:pPr>
            <w:r>
              <w:rPr>
                <w:rFonts w:hint="default" w:ascii="Times New Roman" w:hAnsi="Times New Roman" w:cs="Times New Roman"/>
                <w:sz w:val="28"/>
                <w:szCs w:val="28"/>
              </w:rPr>
              <w:t>Қазан</w:t>
            </w:r>
          </w:p>
        </w:tc>
        <w:tc>
          <w:tcPr>
            <w:tcW w:w="3030" w:type="dxa"/>
            <w:tcBorders>
              <w:top w:val="single" w:color="auto" w:sz="4" w:space="0"/>
              <w:left w:val="single" w:color="auto" w:sz="4" w:space="0"/>
              <w:bottom w:val="single" w:color="auto" w:sz="4" w:space="0"/>
              <w:right w:val="single" w:color="auto" w:sz="4" w:space="0"/>
            </w:tcBorders>
          </w:tcPr>
          <w:p w14:paraId="36507E15">
            <w:pPr>
              <w:pStyle w:val="24"/>
              <w:rPr>
                <w:rFonts w:hint="default" w:ascii="Times New Roman" w:hAnsi="Times New Roman" w:cs="Times New Roman"/>
                <w:sz w:val="28"/>
                <w:szCs w:val="28"/>
              </w:rPr>
            </w:pPr>
            <w:r>
              <w:rPr>
                <w:rFonts w:hint="default" w:ascii="Times New Roman" w:hAnsi="Times New Roman" w:cs="Times New Roman"/>
                <w:sz w:val="28"/>
                <w:szCs w:val="28"/>
              </w:rPr>
              <w:t>3</w:t>
            </w:r>
          </w:p>
        </w:tc>
        <w:tc>
          <w:tcPr>
            <w:tcW w:w="3180" w:type="dxa"/>
            <w:tcBorders>
              <w:top w:val="single" w:color="auto" w:sz="4" w:space="0"/>
              <w:left w:val="single" w:color="auto" w:sz="4" w:space="0"/>
              <w:bottom w:val="single" w:color="auto" w:sz="4" w:space="0"/>
              <w:right w:val="single" w:color="auto" w:sz="4" w:space="0"/>
            </w:tcBorders>
          </w:tcPr>
          <w:p w14:paraId="3992A017">
            <w:pPr>
              <w:pStyle w:val="24"/>
              <w:rPr>
                <w:rFonts w:hint="default" w:ascii="Times New Roman" w:hAnsi="Times New Roman" w:cs="Times New Roman"/>
                <w:sz w:val="28"/>
                <w:szCs w:val="28"/>
              </w:rPr>
            </w:pPr>
            <w:r>
              <w:rPr>
                <w:rFonts w:hint="default" w:ascii="Times New Roman" w:hAnsi="Times New Roman" w:cs="Times New Roman"/>
                <w:sz w:val="28"/>
                <w:szCs w:val="28"/>
              </w:rPr>
              <w:t>6</w:t>
            </w:r>
          </w:p>
        </w:tc>
      </w:tr>
      <w:tr w14:paraId="366DA473">
        <w:tblPrEx>
          <w:tblCellMar>
            <w:top w:w="0" w:type="dxa"/>
            <w:left w:w="108" w:type="dxa"/>
            <w:bottom w:w="0" w:type="dxa"/>
            <w:right w:w="108" w:type="dxa"/>
          </w:tblCellMar>
        </w:tblPrEx>
        <w:tc>
          <w:tcPr>
            <w:tcBorders>
              <w:top w:val="single" w:color="auto" w:sz="4" w:space="0"/>
              <w:left w:val="single" w:color="auto" w:sz="4" w:space="0"/>
              <w:bottom w:val="single" w:color="auto" w:sz="4" w:space="0"/>
              <w:right w:val="single" w:color="auto" w:sz="4" w:space="0"/>
            </w:tcBorders>
          </w:tcPr>
          <w:p w14:paraId="2A036A9F">
            <w:pPr>
              <w:pStyle w:val="24"/>
              <w:rPr>
                <w:rFonts w:hint="default" w:ascii="Times New Roman" w:hAnsi="Times New Roman" w:cs="Times New Roman"/>
                <w:sz w:val="28"/>
                <w:szCs w:val="28"/>
              </w:rPr>
            </w:pPr>
            <w:r>
              <w:rPr>
                <w:rFonts w:hint="default" w:ascii="Times New Roman" w:hAnsi="Times New Roman" w:cs="Times New Roman"/>
                <w:sz w:val="28"/>
                <w:szCs w:val="28"/>
              </w:rPr>
              <w:t>3</w:t>
            </w:r>
          </w:p>
        </w:tc>
        <w:tc>
          <w:tcPr>
            <w:tcW w:w="1829" w:type="dxa"/>
            <w:tcBorders>
              <w:top w:val="single" w:color="auto" w:sz="4" w:space="0"/>
              <w:left w:val="single" w:color="auto" w:sz="4" w:space="0"/>
              <w:bottom w:val="single" w:color="auto" w:sz="4" w:space="0"/>
              <w:right w:val="single" w:color="auto" w:sz="4" w:space="0"/>
            </w:tcBorders>
          </w:tcPr>
          <w:p w14:paraId="1A9AEFE6">
            <w:pPr>
              <w:pStyle w:val="24"/>
              <w:rPr>
                <w:rFonts w:hint="default" w:ascii="Times New Roman" w:hAnsi="Times New Roman" w:cs="Times New Roman"/>
                <w:sz w:val="28"/>
                <w:szCs w:val="28"/>
              </w:rPr>
            </w:pPr>
            <w:r>
              <w:rPr>
                <w:rFonts w:hint="default" w:ascii="Times New Roman" w:hAnsi="Times New Roman" w:cs="Times New Roman"/>
                <w:sz w:val="28"/>
                <w:szCs w:val="28"/>
              </w:rPr>
              <w:t>Қараша</w:t>
            </w:r>
          </w:p>
        </w:tc>
        <w:tc>
          <w:tcPr>
            <w:tcW w:w="3030" w:type="dxa"/>
            <w:tcBorders>
              <w:top w:val="single" w:color="auto" w:sz="4" w:space="0"/>
              <w:left w:val="single" w:color="auto" w:sz="4" w:space="0"/>
              <w:bottom w:val="single" w:color="auto" w:sz="4" w:space="0"/>
              <w:right w:val="single" w:color="auto" w:sz="4" w:space="0"/>
            </w:tcBorders>
          </w:tcPr>
          <w:p w14:paraId="0FE12984">
            <w:pPr>
              <w:pStyle w:val="24"/>
              <w:rPr>
                <w:rFonts w:hint="default" w:ascii="Times New Roman" w:hAnsi="Times New Roman" w:cs="Times New Roman"/>
                <w:sz w:val="28"/>
                <w:szCs w:val="28"/>
              </w:rPr>
            </w:pPr>
            <w:r>
              <w:rPr>
                <w:rFonts w:hint="default" w:ascii="Times New Roman" w:hAnsi="Times New Roman" w:cs="Times New Roman"/>
                <w:sz w:val="28"/>
                <w:szCs w:val="28"/>
              </w:rPr>
              <w:t>3</w:t>
            </w:r>
          </w:p>
        </w:tc>
        <w:tc>
          <w:tcPr>
            <w:tcW w:w="3180" w:type="dxa"/>
            <w:tcBorders>
              <w:top w:val="single" w:color="auto" w:sz="4" w:space="0"/>
              <w:left w:val="single" w:color="auto" w:sz="4" w:space="0"/>
              <w:bottom w:val="single" w:color="auto" w:sz="4" w:space="0"/>
              <w:right w:val="single" w:color="auto" w:sz="4" w:space="0"/>
            </w:tcBorders>
          </w:tcPr>
          <w:p w14:paraId="3A6C8E8C">
            <w:pPr>
              <w:pStyle w:val="24"/>
              <w:rPr>
                <w:rFonts w:hint="default" w:ascii="Times New Roman" w:hAnsi="Times New Roman" w:cs="Times New Roman"/>
                <w:sz w:val="28"/>
                <w:szCs w:val="28"/>
              </w:rPr>
            </w:pPr>
            <w:r>
              <w:rPr>
                <w:rFonts w:hint="default" w:ascii="Times New Roman" w:hAnsi="Times New Roman" w:cs="Times New Roman"/>
                <w:sz w:val="28"/>
                <w:szCs w:val="28"/>
              </w:rPr>
              <w:t>5</w:t>
            </w:r>
          </w:p>
        </w:tc>
      </w:tr>
      <w:tr w14:paraId="29261CBB">
        <w:tblPrEx>
          <w:tblCellMar>
            <w:top w:w="0" w:type="dxa"/>
            <w:left w:w="108" w:type="dxa"/>
            <w:bottom w:w="0" w:type="dxa"/>
            <w:right w:w="108" w:type="dxa"/>
          </w:tblCellMar>
        </w:tblPrEx>
        <w:tc>
          <w:tcPr>
            <w:tcBorders>
              <w:top w:val="single" w:color="auto" w:sz="4" w:space="0"/>
              <w:left w:val="single" w:color="auto" w:sz="4" w:space="0"/>
              <w:bottom w:val="single" w:color="auto" w:sz="4" w:space="0"/>
              <w:right w:val="single" w:color="auto" w:sz="4" w:space="0"/>
            </w:tcBorders>
          </w:tcPr>
          <w:p w14:paraId="42521391">
            <w:pPr>
              <w:pStyle w:val="24"/>
              <w:rPr>
                <w:rFonts w:hint="default" w:ascii="Times New Roman" w:hAnsi="Times New Roman" w:cs="Times New Roman"/>
                <w:sz w:val="28"/>
                <w:szCs w:val="28"/>
              </w:rPr>
            </w:pPr>
            <w:r>
              <w:rPr>
                <w:rFonts w:hint="default" w:ascii="Times New Roman" w:hAnsi="Times New Roman" w:cs="Times New Roman"/>
                <w:sz w:val="28"/>
                <w:szCs w:val="28"/>
              </w:rPr>
              <w:t>4</w:t>
            </w:r>
          </w:p>
        </w:tc>
        <w:tc>
          <w:tcPr>
            <w:tcW w:w="1829" w:type="dxa"/>
            <w:tcBorders>
              <w:top w:val="single" w:color="auto" w:sz="4" w:space="0"/>
              <w:left w:val="single" w:color="auto" w:sz="4" w:space="0"/>
              <w:bottom w:val="single" w:color="auto" w:sz="4" w:space="0"/>
              <w:right w:val="single" w:color="auto" w:sz="4" w:space="0"/>
            </w:tcBorders>
          </w:tcPr>
          <w:p w14:paraId="75B02F6E">
            <w:pPr>
              <w:pStyle w:val="24"/>
              <w:rPr>
                <w:rFonts w:hint="default" w:ascii="Times New Roman" w:hAnsi="Times New Roman" w:cs="Times New Roman"/>
                <w:sz w:val="28"/>
                <w:szCs w:val="28"/>
              </w:rPr>
            </w:pPr>
            <w:r>
              <w:rPr>
                <w:rFonts w:hint="default" w:ascii="Times New Roman" w:hAnsi="Times New Roman" w:cs="Times New Roman"/>
                <w:sz w:val="28"/>
                <w:szCs w:val="28"/>
              </w:rPr>
              <w:t>Желтоқсан</w:t>
            </w:r>
          </w:p>
        </w:tc>
        <w:tc>
          <w:tcPr>
            <w:tcW w:w="3030" w:type="dxa"/>
            <w:tcBorders>
              <w:top w:val="single" w:color="auto" w:sz="4" w:space="0"/>
              <w:left w:val="single" w:color="auto" w:sz="4" w:space="0"/>
              <w:bottom w:val="single" w:color="auto" w:sz="4" w:space="0"/>
              <w:right w:val="single" w:color="auto" w:sz="4" w:space="0"/>
            </w:tcBorders>
          </w:tcPr>
          <w:p w14:paraId="0EA3EA4F">
            <w:pPr>
              <w:pStyle w:val="24"/>
              <w:rPr>
                <w:rFonts w:hint="default" w:ascii="Times New Roman" w:hAnsi="Times New Roman" w:cs="Times New Roman"/>
                <w:sz w:val="28"/>
                <w:szCs w:val="28"/>
              </w:rPr>
            </w:pPr>
            <w:r>
              <w:rPr>
                <w:rFonts w:hint="default" w:ascii="Times New Roman" w:hAnsi="Times New Roman" w:cs="Times New Roman"/>
                <w:sz w:val="28"/>
                <w:szCs w:val="28"/>
              </w:rPr>
              <w:t>4</w:t>
            </w:r>
          </w:p>
        </w:tc>
        <w:tc>
          <w:tcPr>
            <w:tcW w:w="3180" w:type="dxa"/>
            <w:tcBorders>
              <w:top w:val="single" w:color="auto" w:sz="4" w:space="0"/>
              <w:left w:val="single" w:color="auto" w:sz="4" w:space="0"/>
              <w:bottom w:val="single" w:color="auto" w:sz="4" w:space="0"/>
              <w:right w:val="single" w:color="auto" w:sz="4" w:space="0"/>
            </w:tcBorders>
          </w:tcPr>
          <w:p w14:paraId="733CF450">
            <w:pPr>
              <w:pStyle w:val="24"/>
              <w:rPr>
                <w:rFonts w:hint="default" w:ascii="Times New Roman" w:hAnsi="Times New Roman" w:cs="Times New Roman"/>
                <w:sz w:val="28"/>
                <w:szCs w:val="28"/>
              </w:rPr>
            </w:pPr>
            <w:r>
              <w:rPr>
                <w:rFonts w:hint="default" w:ascii="Times New Roman" w:hAnsi="Times New Roman" w:cs="Times New Roman"/>
                <w:sz w:val="28"/>
                <w:szCs w:val="28"/>
              </w:rPr>
              <w:t>6</w:t>
            </w:r>
          </w:p>
        </w:tc>
      </w:tr>
      <w:tr w14:paraId="47F95446">
        <w:tblPrEx>
          <w:tblCellMar>
            <w:top w:w="0" w:type="dxa"/>
            <w:left w:w="108" w:type="dxa"/>
            <w:bottom w:w="0" w:type="dxa"/>
            <w:right w:w="108" w:type="dxa"/>
          </w:tblCellMar>
        </w:tblPrEx>
        <w:tc>
          <w:tcPr>
            <w:tcBorders>
              <w:top w:val="single" w:color="auto" w:sz="4" w:space="0"/>
              <w:left w:val="single" w:color="auto" w:sz="4" w:space="0"/>
              <w:bottom w:val="single" w:color="auto" w:sz="4" w:space="0"/>
              <w:right w:val="single" w:color="auto" w:sz="4" w:space="0"/>
            </w:tcBorders>
          </w:tcPr>
          <w:p w14:paraId="6924D61A">
            <w:pPr>
              <w:pStyle w:val="24"/>
              <w:rPr>
                <w:rFonts w:hint="default" w:ascii="Times New Roman" w:hAnsi="Times New Roman" w:cs="Times New Roman"/>
                <w:sz w:val="28"/>
                <w:szCs w:val="28"/>
              </w:rPr>
            </w:pPr>
            <w:r>
              <w:rPr>
                <w:rFonts w:hint="default" w:ascii="Times New Roman" w:hAnsi="Times New Roman" w:cs="Times New Roman"/>
                <w:sz w:val="28"/>
                <w:szCs w:val="28"/>
              </w:rPr>
              <w:t>5</w:t>
            </w:r>
          </w:p>
        </w:tc>
        <w:tc>
          <w:tcPr>
            <w:tcW w:w="1829" w:type="dxa"/>
            <w:tcBorders>
              <w:top w:val="single" w:color="auto" w:sz="4" w:space="0"/>
              <w:left w:val="single" w:color="auto" w:sz="4" w:space="0"/>
              <w:bottom w:val="single" w:color="auto" w:sz="4" w:space="0"/>
              <w:right w:val="single" w:color="auto" w:sz="4" w:space="0"/>
            </w:tcBorders>
          </w:tcPr>
          <w:p w14:paraId="3E76D837">
            <w:pPr>
              <w:pStyle w:val="24"/>
              <w:rPr>
                <w:rFonts w:hint="default" w:ascii="Times New Roman" w:hAnsi="Times New Roman" w:cs="Times New Roman"/>
                <w:sz w:val="28"/>
                <w:szCs w:val="28"/>
              </w:rPr>
            </w:pPr>
            <w:r>
              <w:rPr>
                <w:rFonts w:hint="default" w:ascii="Times New Roman" w:hAnsi="Times New Roman" w:cs="Times New Roman"/>
                <w:sz w:val="28"/>
                <w:szCs w:val="28"/>
              </w:rPr>
              <w:t>Қаңтар</w:t>
            </w:r>
          </w:p>
        </w:tc>
        <w:tc>
          <w:tcPr>
            <w:tcW w:w="3030" w:type="dxa"/>
            <w:tcBorders>
              <w:top w:val="single" w:color="auto" w:sz="4" w:space="0"/>
              <w:left w:val="single" w:color="auto" w:sz="4" w:space="0"/>
              <w:bottom w:val="single" w:color="auto" w:sz="4" w:space="0"/>
              <w:right w:val="single" w:color="auto" w:sz="4" w:space="0"/>
            </w:tcBorders>
          </w:tcPr>
          <w:p w14:paraId="36139218">
            <w:pPr>
              <w:pStyle w:val="24"/>
              <w:rPr>
                <w:rFonts w:hint="default" w:ascii="Times New Roman" w:hAnsi="Times New Roman" w:cs="Times New Roman"/>
                <w:sz w:val="28"/>
                <w:szCs w:val="28"/>
              </w:rPr>
            </w:pPr>
            <w:r>
              <w:rPr>
                <w:rFonts w:hint="default" w:ascii="Times New Roman" w:hAnsi="Times New Roman" w:cs="Times New Roman"/>
                <w:sz w:val="28"/>
                <w:szCs w:val="28"/>
              </w:rPr>
              <w:t>4</w:t>
            </w:r>
          </w:p>
        </w:tc>
        <w:tc>
          <w:tcPr>
            <w:tcW w:w="3180" w:type="dxa"/>
            <w:tcBorders>
              <w:top w:val="single" w:color="auto" w:sz="4" w:space="0"/>
              <w:left w:val="single" w:color="auto" w:sz="4" w:space="0"/>
              <w:bottom w:val="single" w:color="auto" w:sz="4" w:space="0"/>
              <w:right w:val="single" w:color="auto" w:sz="4" w:space="0"/>
            </w:tcBorders>
          </w:tcPr>
          <w:p w14:paraId="121FC447">
            <w:pPr>
              <w:pStyle w:val="24"/>
              <w:rPr>
                <w:rFonts w:hint="default" w:ascii="Times New Roman" w:hAnsi="Times New Roman" w:cs="Times New Roman"/>
                <w:sz w:val="28"/>
                <w:szCs w:val="28"/>
              </w:rPr>
            </w:pPr>
            <w:r>
              <w:rPr>
                <w:rFonts w:hint="default" w:ascii="Times New Roman" w:hAnsi="Times New Roman" w:cs="Times New Roman"/>
                <w:sz w:val="28"/>
                <w:szCs w:val="28"/>
              </w:rPr>
              <w:t>7</w:t>
            </w:r>
          </w:p>
        </w:tc>
      </w:tr>
      <w:tr w14:paraId="127AD3A9">
        <w:tblPrEx>
          <w:tblCellMar>
            <w:top w:w="0" w:type="dxa"/>
            <w:left w:w="108" w:type="dxa"/>
            <w:bottom w:w="0" w:type="dxa"/>
            <w:right w:w="108" w:type="dxa"/>
          </w:tblCellMar>
        </w:tblPrEx>
        <w:tc>
          <w:tcPr>
            <w:tcBorders>
              <w:top w:val="single" w:color="auto" w:sz="4" w:space="0"/>
              <w:left w:val="single" w:color="auto" w:sz="4" w:space="0"/>
              <w:bottom w:val="single" w:color="auto" w:sz="4" w:space="0"/>
              <w:right w:val="single" w:color="auto" w:sz="4" w:space="0"/>
            </w:tcBorders>
          </w:tcPr>
          <w:p w14:paraId="17B21074">
            <w:pPr>
              <w:pStyle w:val="24"/>
              <w:rPr>
                <w:rFonts w:hint="default" w:ascii="Times New Roman" w:hAnsi="Times New Roman" w:cs="Times New Roman"/>
                <w:sz w:val="28"/>
                <w:szCs w:val="28"/>
              </w:rPr>
            </w:pPr>
            <w:r>
              <w:rPr>
                <w:rFonts w:hint="default" w:ascii="Times New Roman" w:hAnsi="Times New Roman" w:cs="Times New Roman"/>
                <w:sz w:val="28"/>
                <w:szCs w:val="28"/>
              </w:rPr>
              <w:t>6</w:t>
            </w:r>
          </w:p>
        </w:tc>
        <w:tc>
          <w:tcPr>
            <w:tcW w:w="1829" w:type="dxa"/>
            <w:tcBorders>
              <w:top w:val="single" w:color="auto" w:sz="4" w:space="0"/>
              <w:left w:val="single" w:color="auto" w:sz="4" w:space="0"/>
              <w:bottom w:val="single" w:color="auto" w:sz="4" w:space="0"/>
              <w:right w:val="single" w:color="auto" w:sz="4" w:space="0"/>
            </w:tcBorders>
          </w:tcPr>
          <w:p w14:paraId="10FE769E">
            <w:pPr>
              <w:pStyle w:val="24"/>
              <w:rPr>
                <w:rFonts w:hint="default" w:ascii="Times New Roman" w:hAnsi="Times New Roman" w:cs="Times New Roman"/>
                <w:sz w:val="28"/>
                <w:szCs w:val="28"/>
              </w:rPr>
            </w:pPr>
            <w:r>
              <w:rPr>
                <w:rFonts w:hint="default" w:ascii="Times New Roman" w:hAnsi="Times New Roman" w:cs="Times New Roman"/>
                <w:sz w:val="28"/>
                <w:szCs w:val="28"/>
              </w:rPr>
              <w:t>Ақпан</w:t>
            </w:r>
          </w:p>
        </w:tc>
        <w:tc>
          <w:tcPr>
            <w:tcW w:w="3030" w:type="dxa"/>
            <w:tcBorders>
              <w:top w:val="single" w:color="auto" w:sz="4" w:space="0"/>
              <w:left w:val="single" w:color="auto" w:sz="4" w:space="0"/>
              <w:bottom w:val="single" w:color="auto" w:sz="4" w:space="0"/>
              <w:right w:val="single" w:color="auto" w:sz="4" w:space="0"/>
            </w:tcBorders>
          </w:tcPr>
          <w:p w14:paraId="58208D35">
            <w:pPr>
              <w:pStyle w:val="24"/>
              <w:rPr>
                <w:rFonts w:hint="default" w:ascii="Times New Roman" w:hAnsi="Times New Roman" w:cs="Times New Roman"/>
                <w:sz w:val="28"/>
                <w:szCs w:val="28"/>
              </w:rPr>
            </w:pPr>
            <w:r>
              <w:rPr>
                <w:rFonts w:hint="default" w:ascii="Times New Roman" w:hAnsi="Times New Roman" w:cs="Times New Roman"/>
                <w:sz w:val="28"/>
                <w:szCs w:val="28"/>
              </w:rPr>
              <w:t>4</w:t>
            </w:r>
          </w:p>
        </w:tc>
        <w:tc>
          <w:tcPr>
            <w:tcW w:w="3180" w:type="dxa"/>
            <w:tcBorders>
              <w:top w:val="single" w:color="auto" w:sz="4" w:space="0"/>
              <w:left w:val="single" w:color="auto" w:sz="4" w:space="0"/>
              <w:bottom w:val="single" w:color="auto" w:sz="4" w:space="0"/>
              <w:right w:val="single" w:color="auto" w:sz="4" w:space="0"/>
            </w:tcBorders>
          </w:tcPr>
          <w:p w14:paraId="074028D4">
            <w:pPr>
              <w:pStyle w:val="24"/>
              <w:rPr>
                <w:rFonts w:hint="default" w:ascii="Times New Roman" w:hAnsi="Times New Roman" w:cs="Times New Roman"/>
                <w:sz w:val="28"/>
                <w:szCs w:val="28"/>
              </w:rPr>
            </w:pPr>
            <w:r>
              <w:rPr>
                <w:rFonts w:hint="default" w:ascii="Times New Roman" w:hAnsi="Times New Roman" w:cs="Times New Roman"/>
                <w:sz w:val="28"/>
                <w:szCs w:val="28"/>
              </w:rPr>
              <w:t>8</w:t>
            </w:r>
          </w:p>
        </w:tc>
      </w:tr>
      <w:tr w14:paraId="78744D7F">
        <w:tblPrEx>
          <w:tblCellMar>
            <w:top w:w="0" w:type="dxa"/>
            <w:left w:w="108" w:type="dxa"/>
            <w:bottom w:w="0" w:type="dxa"/>
            <w:right w:w="108" w:type="dxa"/>
          </w:tblCellMar>
        </w:tblPrEx>
        <w:tc>
          <w:tcPr>
            <w:tcBorders>
              <w:top w:val="single" w:color="auto" w:sz="4" w:space="0"/>
              <w:left w:val="single" w:color="auto" w:sz="4" w:space="0"/>
              <w:bottom w:val="single" w:color="auto" w:sz="4" w:space="0"/>
              <w:right w:val="single" w:color="auto" w:sz="4" w:space="0"/>
            </w:tcBorders>
          </w:tcPr>
          <w:p w14:paraId="41D73C3B">
            <w:pPr>
              <w:pStyle w:val="24"/>
              <w:rPr>
                <w:rFonts w:hint="default" w:ascii="Times New Roman" w:hAnsi="Times New Roman" w:cs="Times New Roman"/>
                <w:sz w:val="28"/>
                <w:szCs w:val="28"/>
              </w:rPr>
            </w:pPr>
            <w:r>
              <w:rPr>
                <w:rFonts w:hint="default" w:ascii="Times New Roman" w:hAnsi="Times New Roman" w:cs="Times New Roman"/>
                <w:sz w:val="28"/>
                <w:szCs w:val="28"/>
              </w:rPr>
              <w:t>7</w:t>
            </w:r>
          </w:p>
        </w:tc>
        <w:tc>
          <w:tcPr>
            <w:tcW w:w="1829" w:type="dxa"/>
            <w:tcBorders>
              <w:top w:val="single" w:color="auto" w:sz="4" w:space="0"/>
              <w:left w:val="single" w:color="auto" w:sz="4" w:space="0"/>
              <w:bottom w:val="single" w:color="auto" w:sz="4" w:space="0"/>
              <w:right w:val="single" w:color="auto" w:sz="4" w:space="0"/>
            </w:tcBorders>
          </w:tcPr>
          <w:p w14:paraId="00BD996A">
            <w:pPr>
              <w:pStyle w:val="24"/>
              <w:rPr>
                <w:rFonts w:hint="default" w:ascii="Times New Roman" w:hAnsi="Times New Roman" w:cs="Times New Roman"/>
                <w:sz w:val="28"/>
                <w:szCs w:val="28"/>
              </w:rPr>
            </w:pPr>
            <w:r>
              <w:rPr>
                <w:rFonts w:hint="default" w:ascii="Times New Roman" w:hAnsi="Times New Roman" w:cs="Times New Roman"/>
                <w:sz w:val="28"/>
                <w:szCs w:val="28"/>
              </w:rPr>
              <w:t>Наурыз</w:t>
            </w:r>
          </w:p>
        </w:tc>
        <w:tc>
          <w:tcPr>
            <w:tcW w:w="3030" w:type="dxa"/>
            <w:tcBorders>
              <w:top w:val="single" w:color="auto" w:sz="4" w:space="0"/>
              <w:left w:val="single" w:color="auto" w:sz="4" w:space="0"/>
              <w:bottom w:val="single" w:color="auto" w:sz="4" w:space="0"/>
              <w:right w:val="single" w:color="auto" w:sz="4" w:space="0"/>
            </w:tcBorders>
          </w:tcPr>
          <w:p w14:paraId="0DBFA9EA">
            <w:pPr>
              <w:pStyle w:val="24"/>
              <w:rPr>
                <w:rFonts w:hint="default" w:ascii="Times New Roman" w:hAnsi="Times New Roman" w:cs="Times New Roman"/>
                <w:sz w:val="28"/>
                <w:szCs w:val="28"/>
              </w:rPr>
            </w:pPr>
            <w:r>
              <w:rPr>
                <w:rFonts w:hint="default" w:ascii="Times New Roman" w:hAnsi="Times New Roman" w:cs="Times New Roman"/>
                <w:sz w:val="28"/>
                <w:szCs w:val="28"/>
              </w:rPr>
              <w:t>4</w:t>
            </w:r>
          </w:p>
        </w:tc>
        <w:tc>
          <w:tcPr>
            <w:tcW w:w="3180" w:type="dxa"/>
            <w:tcBorders>
              <w:top w:val="single" w:color="auto" w:sz="4" w:space="0"/>
              <w:left w:val="single" w:color="auto" w:sz="4" w:space="0"/>
              <w:bottom w:val="single" w:color="auto" w:sz="4" w:space="0"/>
              <w:right w:val="single" w:color="auto" w:sz="4" w:space="0"/>
            </w:tcBorders>
          </w:tcPr>
          <w:p w14:paraId="0673615B">
            <w:pPr>
              <w:pStyle w:val="24"/>
              <w:rPr>
                <w:rFonts w:hint="default" w:ascii="Times New Roman" w:hAnsi="Times New Roman" w:cs="Times New Roman"/>
                <w:sz w:val="28"/>
                <w:szCs w:val="28"/>
              </w:rPr>
            </w:pPr>
            <w:r>
              <w:rPr>
                <w:rFonts w:hint="default" w:ascii="Times New Roman" w:hAnsi="Times New Roman" w:cs="Times New Roman"/>
                <w:sz w:val="28"/>
                <w:szCs w:val="28"/>
              </w:rPr>
              <w:t>6</w:t>
            </w:r>
          </w:p>
        </w:tc>
      </w:tr>
      <w:tr w14:paraId="4CDC9B15">
        <w:tblPrEx>
          <w:tblCellMar>
            <w:top w:w="0" w:type="dxa"/>
            <w:left w:w="108" w:type="dxa"/>
            <w:bottom w:w="0" w:type="dxa"/>
            <w:right w:w="108" w:type="dxa"/>
          </w:tblCellMar>
        </w:tblPrEx>
        <w:tc>
          <w:tcPr>
            <w:tcBorders>
              <w:top w:val="single" w:color="auto" w:sz="4" w:space="0"/>
              <w:left w:val="single" w:color="auto" w:sz="4" w:space="0"/>
              <w:bottom w:val="single" w:color="auto" w:sz="4" w:space="0"/>
              <w:right w:val="single" w:color="auto" w:sz="4" w:space="0"/>
            </w:tcBorders>
          </w:tcPr>
          <w:p w14:paraId="5503B936">
            <w:pPr>
              <w:pStyle w:val="24"/>
              <w:rPr>
                <w:rFonts w:hint="default" w:ascii="Times New Roman" w:hAnsi="Times New Roman" w:cs="Times New Roman"/>
                <w:sz w:val="28"/>
                <w:szCs w:val="28"/>
              </w:rPr>
            </w:pPr>
            <w:r>
              <w:rPr>
                <w:rFonts w:hint="default" w:ascii="Times New Roman" w:hAnsi="Times New Roman" w:cs="Times New Roman"/>
                <w:sz w:val="28"/>
                <w:szCs w:val="28"/>
              </w:rPr>
              <w:t>8</w:t>
            </w:r>
          </w:p>
        </w:tc>
        <w:tc>
          <w:tcPr>
            <w:tcW w:w="1829" w:type="dxa"/>
            <w:tcBorders>
              <w:top w:val="single" w:color="auto" w:sz="4" w:space="0"/>
              <w:left w:val="single" w:color="auto" w:sz="4" w:space="0"/>
              <w:bottom w:val="single" w:color="auto" w:sz="4" w:space="0"/>
              <w:right w:val="single" w:color="auto" w:sz="4" w:space="0"/>
            </w:tcBorders>
          </w:tcPr>
          <w:p w14:paraId="25028938">
            <w:pPr>
              <w:pStyle w:val="24"/>
              <w:rPr>
                <w:rFonts w:hint="default" w:ascii="Times New Roman" w:hAnsi="Times New Roman" w:cs="Times New Roman"/>
                <w:sz w:val="28"/>
                <w:szCs w:val="28"/>
              </w:rPr>
            </w:pPr>
            <w:r>
              <w:rPr>
                <w:rFonts w:hint="default" w:ascii="Times New Roman" w:hAnsi="Times New Roman" w:cs="Times New Roman"/>
                <w:sz w:val="28"/>
                <w:szCs w:val="28"/>
              </w:rPr>
              <w:t>Сәуір</w:t>
            </w:r>
          </w:p>
        </w:tc>
        <w:tc>
          <w:tcPr>
            <w:tcW w:w="3030" w:type="dxa"/>
            <w:tcBorders>
              <w:top w:val="single" w:color="auto" w:sz="4" w:space="0"/>
              <w:left w:val="single" w:color="auto" w:sz="4" w:space="0"/>
              <w:bottom w:val="single" w:color="auto" w:sz="4" w:space="0"/>
              <w:right w:val="single" w:color="auto" w:sz="4" w:space="0"/>
            </w:tcBorders>
          </w:tcPr>
          <w:p w14:paraId="7611727F">
            <w:pPr>
              <w:pStyle w:val="24"/>
              <w:rPr>
                <w:rFonts w:hint="default" w:ascii="Times New Roman" w:hAnsi="Times New Roman" w:cs="Times New Roman"/>
                <w:sz w:val="28"/>
                <w:szCs w:val="28"/>
              </w:rPr>
            </w:pPr>
            <w:r>
              <w:rPr>
                <w:rFonts w:hint="default" w:ascii="Times New Roman" w:hAnsi="Times New Roman" w:cs="Times New Roman"/>
                <w:sz w:val="28"/>
                <w:szCs w:val="28"/>
              </w:rPr>
              <w:t>4</w:t>
            </w:r>
          </w:p>
        </w:tc>
        <w:tc>
          <w:tcPr>
            <w:tcW w:w="3180" w:type="dxa"/>
            <w:tcBorders>
              <w:top w:val="single" w:color="auto" w:sz="4" w:space="0"/>
              <w:left w:val="single" w:color="auto" w:sz="4" w:space="0"/>
              <w:bottom w:val="single" w:color="auto" w:sz="4" w:space="0"/>
              <w:right w:val="single" w:color="auto" w:sz="4" w:space="0"/>
            </w:tcBorders>
          </w:tcPr>
          <w:p w14:paraId="7F2EFB18">
            <w:pPr>
              <w:pStyle w:val="24"/>
              <w:rPr>
                <w:rFonts w:hint="default" w:ascii="Times New Roman" w:hAnsi="Times New Roman" w:cs="Times New Roman"/>
                <w:sz w:val="28"/>
                <w:szCs w:val="28"/>
              </w:rPr>
            </w:pPr>
            <w:r>
              <w:rPr>
                <w:rFonts w:hint="default" w:ascii="Times New Roman" w:hAnsi="Times New Roman" w:cs="Times New Roman"/>
                <w:sz w:val="28"/>
                <w:szCs w:val="28"/>
              </w:rPr>
              <w:t>7</w:t>
            </w:r>
          </w:p>
        </w:tc>
      </w:tr>
      <w:tr w14:paraId="1E74C0B8">
        <w:tblPrEx>
          <w:tblCellMar>
            <w:top w:w="0" w:type="dxa"/>
            <w:left w:w="108" w:type="dxa"/>
            <w:bottom w:w="0" w:type="dxa"/>
            <w:right w:w="108" w:type="dxa"/>
          </w:tblCellMar>
        </w:tblPrEx>
        <w:tc>
          <w:tcPr>
            <w:tcBorders>
              <w:top w:val="single" w:color="auto" w:sz="4" w:space="0"/>
              <w:left w:val="single" w:color="auto" w:sz="4" w:space="0"/>
              <w:bottom w:val="single" w:color="auto" w:sz="4" w:space="0"/>
              <w:right w:val="single" w:color="auto" w:sz="4" w:space="0"/>
            </w:tcBorders>
          </w:tcPr>
          <w:p w14:paraId="7340768A">
            <w:pPr>
              <w:pStyle w:val="24"/>
              <w:rPr>
                <w:rFonts w:hint="default" w:ascii="Times New Roman" w:hAnsi="Times New Roman" w:cs="Times New Roman"/>
                <w:sz w:val="28"/>
                <w:szCs w:val="28"/>
              </w:rPr>
            </w:pPr>
            <w:r>
              <w:rPr>
                <w:rFonts w:hint="default" w:ascii="Times New Roman" w:hAnsi="Times New Roman" w:cs="Times New Roman"/>
                <w:sz w:val="28"/>
                <w:szCs w:val="28"/>
              </w:rPr>
              <w:t>9</w:t>
            </w:r>
          </w:p>
        </w:tc>
        <w:tc>
          <w:tcPr>
            <w:tcW w:w="1829" w:type="dxa"/>
            <w:tcBorders>
              <w:top w:val="single" w:color="auto" w:sz="4" w:space="0"/>
              <w:left w:val="single" w:color="auto" w:sz="4" w:space="0"/>
              <w:bottom w:val="single" w:color="auto" w:sz="4" w:space="0"/>
              <w:right w:val="single" w:color="auto" w:sz="4" w:space="0"/>
            </w:tcBorders>
          </w:tcPr>
          <w:p w14:paraId="4C0E7E50">
            <w:pPr>
              <w:pStyle w:val="24"/>
              <w:rPr>
                <w:rFonts w:hint="default" w:ascii="Times New Roman" w:hAnsi="Times New Roman" w:cs="Times New Roman"/>
                <w:sz w:val="28"/>
                <w:szCs w:val="28"/>
              </w:rPr>
            </w:pPr>
            <w:r>
              <w:rPr>
                <w:rFonts w:hint="default" w:ascii="Times New Roman" w:hAnsi="Times New Roman" w:cs="Times New Roman"/>
                <w:sz w:val="28"/>
                <w:szCs w:val="28"/>
              </w:rPr>
              <w:t>Мамыр</w:t>
            </w:r>
          </w:p>
        </w:tc>
        <w:tc>
          <w:tcPr>
            <w:tcW w:w="3030" w:type="dxa"/>
            <w:tcBorders>
              <w:top w:val="single" w:color="auto" w:sz="4" w:space="0"/>
              <w:left w:val="single" w:color="auto" w:sz="4" w:space="0"/>
              <w:bottom w:val="single" w:color="auto" w:sz="4" w:space="0"/>
              <w:right w:val="single" w:color="auto" w:sz="4" w:space="0"/>
            </w:tcBorders>
          </w:tcPr>
          <w:p w14:paraId="0CB937D7">
            <w:pPr>
              <w:pStyle w:val="24"/>
              <w:rPr>
                <w:rFonts w:hint="default" w:ascii="Times New Roman" w:hAnsi="Times New Roman" w:cs="Times New Roman"/>
                <w:sz w:val="28"/>
                <w:szCs w:val="28"/>
              </w:rPr>
            </w:pPr>
            <w:r>
              <w:rPr>
                <w:rFonts w:hint="default" w:ascii="Times New Roman" w:hAnsi="Times New Roman" w:cs="Times New Roman"/>
                <w:sz w:val="28"/>
                <w:szCs w:val="28"/>
              </w:rPr>
              <w:t>4</w:t>
            </w:r>
          </w:p>
        </w:tc>
        <w:tc>
          <w:tcPr>
            <w:tcW w:w="3180" w:type="dxa"/>
            <w:tcBorders>
              <w:top w:val="single" w:color="auto" w:sz="4" w:space="0"/>
              <w:left w:val="single" w:color="auto" w:sz="4" w:space="0"/>
              <w:bottom w:val="single" w:color="auto" w:sz="4" w:space="0"/>
              <w:right w:val="single" w:color="auto" w:sz="4" w:space="0"/>
            </w:tcBorders>
          </w:tcPr>
          <w:p w14:paraId="790FBEEA">
            <w:pPr>
              <w:pStyle w:val="24"/>
              <w:rPr>
                <w:rFonts w:hint="default" w:ascii="Times New Roman" w:hAnsi="Times New Roman" w:cs="Times New Roman"/>
                <w:sz w:val="28"/>
                <w:szCs w:val="28"/>
              </w:rPr>
            </w:pPr>
            <w:r>
              <w:rPr>
                <w:rFonts w:hint="default" w:ascii="Times New Roman" w:hAnsi="Times New Roman" w:cs="Times New Roman"/>
                <w:sz w:val="28"/>
                <w:szCs w:val="28"/>
              </w:rPr>
              <w:t>9</w:t>
            </w:r>
          </w:p>
        </w:tc>
      </w:tr>
      <w:tr w14:paraId="71CC01C6">
        <w:tblPrEx>
          <w:tblCellMar>
            <w:top w:w="0" w:type="dxa"/>
            <w:left w:w="108" w:type="dxa"/>
            <w:bottom w:w="0" w:type="dxa"/>
            <w:right w:w="108" w:type="dxa"/>
          </w:tblCellMar>
        </w:tblPrEx>
        <w:tc>
          <w:tcPr>
            <w:tcBorders>
              <w:top w:val="single" w:color="auto" w:sz="4" w:space="0"/>
              <w:left w:val="single" w:color="auto" w:sz="4" w:space="0"/>
              <w:bottom w:val="single" w:color="auto" w:sz="4" w:space="0"/>
              <w:right w:val="single" w:color="auto" w:sz="4" w:space="0"/>
            </w:tcBorders>
          </w:tcPr>
          <w:p w14:paraId="3144C6E1">
            <w:pPr>
              <w:pStyle w:val="24"/>
              <w:rPr>
                <w:rFonts w:hint="default" w:ascii="Times New Roman" w:hAnsi="Times New Roman" w:cs="Times New Roman"/>
                <w:sz w:val="28"/>
                <w:szCs w:val="28"/>
              </w:rPr>
            </w:pPr>
          </w:p>
        </w:tc>
        <w:tc>
          <w:tcPr>
            <w:tcW w:w="1829" w:type="dxa"/>
            <w:tcBorders>
              <w:top w:val="single" w:color="auto" w:sz="4" w:space="0"/>
              <w:left w:val="single" w:color="auto" w:sz="4" w:space="0"/>
              <w:bottom w:val="single" w:color="auto" w:sz="4" w:space="0"/>
              <w:right w:val="single" w:color="auto" w:sz="4" w:space="0"/>
            </w:tcBorders>
          </w:tcPr>
          <w:p w14:paraId="3878D4DA">
            <w:pPr>
              <w:pStyle w:val="24"/>
              <w:rPr>
                <w:rFonts w:hint="default" w:ascii="Times New Roman" w:hAnsi="Times New Roman" w:cs="Times New Roman"/>
                <w:sz w:val="28"/>
                <w:szCs w:val="28"/>
              </w:rPr>
            </w:pPr>
            <w:r>
              <w:rPr>
                <w:rFonts w:hint="default" w:ascii="Times New Roman" w:hAnsi="Times New Roman" w:cs="Times New Roman"/>
                <w:b/>
                <w:bCs/>
                <w:sz w:val="28"/>
                <w:szCs w:val="28"/>
              </w:rPr>
              <w:t>Барлығы</w:t>
            </w:r>
          </w:p>
        </w:tc>
        <w:tc>
          <w:tcPr>
            <w:tcW w:w="3030" w:type="dxa"/>
            <w:tcBorders>
              <w:top w:val="single" w:color="auto" w:sz="4" w:space="0"/>
              <w:left w:val="single" w:color="auto" w:sz="4" w:space="0"/>
              <w:bottom w:val="single" w:color="auto" w:sz="4" w:space="0"/>
              <w:right w:val="single" w:color="auto" w:sz="4" w:space="0"/>
            </w:tcBorders>
          </w:tcPr>
          <w:p w14:paraId="3BE202D0">
            <w:pPr>
              <w:pStyle w:val="24"/>
              <w:rPr>
                <w:rFonts w:hint="default" w:ascii="Times New Roman" w:hAnsi="Times New Roman" w:cs="Times New Roman"/>
                <w:sz w:val="28"/>
                <w:szCs w:val="28"/>
              </w:rPr>
            </w:pPr>
            <w:r>
              <w:rPr>
                <w:rFonts w:hint="default" w:ascii="Times New Roman" w:hAnsi="Times New Roman" w:cs="Times New Roman"/>
                <w:b/>
                <w:bCs/>
                <w:sz w:val="28"/>
                <w:szCs w:val="28"/>
              </w:rPr>
              <w:t>33</w:t>
            </w:r>
          </w:p>
        </w:tc>
        <w:tc>
          <w:tcPr>
            <w:tcW w:w="3180" w:type="dxa"/>
            <w:tcBorders>
              <w:top w:val="single" w:color="auto" w:sz="4" w:space="0"/>
              <w:left w:val="single" w:color="auto" w:sz="4" w:space="0"/>
              <w:bottom w:val="single" w:color="auto" w:sz="4" w:space="0"/>
              <w:right w:val="single" w:color="auto" w:sz="4" w:space="0"/>
            </w:tcBorders>
          </w:tcPr>
          <w:p w14:paraId="331C5BC1">
            <w:pPr>
              <w:pStyle w:val="24"/>
              <w:rPr>
                <w:rFonts w:hint="default" w:ascii="Times New Roman" w:hAnsi="Times New Roman" w:cs="Times New Roman"/>
                <w:sz w:val="28"/>
                <w:szCs w:val="28"/>
              </w:rPr>
            </w:pPr>
            <w:r>
              <w:rPr>
                <w:rFonts w:hint="default" w:ascii="Times New Roman" w:hAnsi="Times New Roman" w:cs="Times New Roman"/>
                <w:b/>
                <w:bCs/>
                <w:sz w:val="28"/>
                <w:szCs w:val="28"/>
              </w:rPr>
              <w:t>60</w:t>
            </w:r>
          </w:p>
        </w:tc>
      </w:tr>
    </w:tbl>
    <w:p w14:paraId="1B4EED90">
      <w:pPr>
        <w:pStyle w:val="3"/>
        <w:rPr>
          <w:rFonts w:hint="default" w:ascii="Times New Roman" w:hAnsi="Times New Roman" w:cs="Times New Roman"/>
          <w:sz w:val="28"/>
          <w:szCs w:val="28"/>
        </w:rPr>
      </w:pPr>
      <w:r>
        <w:rPr>
          <w:rFonts w:hint="default" w:ascii="Times New Roman" w:hAnsi="Times New Roman" w:cs="Times New Roman"/>
          <w:sz w:val="28"/>
          <w:szCs w:val="28"/>
        </w:rPr>
        <w:t>Сабаққа қатысу парақтарының мазмұнына жүргізілген талдау әкімшілік тарапынан сабақтарға келесі бағыттар бойынша кешенді бағалау жүргізілгенін көрсетті:</w:t>
      </w:r>
    </w:p>
    <w:p w14:paraId="260351FE">
      <w:pPr>
        <w:pStyle w:val="24"/>
        <w:numPr>
          <w:ilvl w:val="0"/>
          <w:numId w:val="1"/>
        </w:numPr>
        <w:rPr>
          <w:rFonts w:hint="default" w:ascii="Times New Roman" w:hAnsi="Times New Roman" w:cs="Times New Roman"/>
          <w:sz w:val="28"/>
          <w:szCs w:val="28"/>
        </w:rPr>
      </w:pPr>
      <w:r>
        <w:rPr>
          <w:rFonts w:hint="default" w:ascii="Times New Roman" w:hAnsi="Times New Roman" w:cs="Times New Roman"/>
          <w:sz w:val="28"/>
          <w:szCs w:val="28"/>
        </w:rPr>
        <w:t>сабақ мақсаттарының оқу бағдарламасы талаптарына сәйкестігі;</w:t>
      </w:r>
    </w:p>
    <w:p w14:paraId="4BA9C3D5">
      <w:pPr>
        <w:pStyle w:val="24"/>
        <w:numPr>
          <w:ilvl w:val="0"/>
          <w:numId w:val="1"/>
        </w:numPr>
        <w:rPr>
          <w:rFonts w:hint="default" w:ascii="Times New Roman" w:hAnsi="Times New Roman" w:cs="Times New Roman"/>
          <w:sz w:val="28"/>
          <w:szCs w:val="28"/>
        </w:rPr>
      </w:pPr>
      <w:r>
        <w:rPr>
          <w:rFonts w:hint="default" w:ascii="Times New Roman" w:hAnsi="Times New Roman" w:cs="Times New Roman"/>
          <w:sz w:val="28"/>
          <w:szCs w:val="28"/>
        </w:rPr>
        <w:t>қолданылған оқыту әдістері мен тәсілдерінің тиімділігі;</w:t>
      </w:r>
    </w:p>
    <w:p w14:paraId="24B3512C">
      <w:pPr>
        <w:pStyle w:val="24"/>
        <w:numPr>
          <w:ilvl w:val="0"/>
          <w:numId w:val="1"/>
        </w:numPr>
        <w:rPr>
          <w:rFonts w:hint="default" w:ascii="Times New Roman" w:hAnsi="Times New Roman" w:cs="Times New Roman"/>
          <w:sz w:val="28"/>
          <w:szCs w:val="28"/>
        </w:rPr>
      </w:pPr>
      <w:r>
        <w:rPr>
          <w:rFonts w:hint="default" w:ascii="Times New Roman" w:hAnsi="Times New Roman" w:cs="Times New Roman"/>
          <w:sz w:val="28"/>
          <w:szCs w:val="28"/>
        </w:rPr>
        <w:t>білім алушылардың оқу әрекетін ұйымдастыру деңгейі;</w:t>
      </w:r>
    </w:p>
    <w:p w14:paraId="1456357C">
      <w:pPr>
        <w:pStyle w:val="24"/>
        <w:numPr>
          <w:ilvl w:val="0"/>
          <w:numId w:val="1"/>
        </w:numPr>
        <w:rPr>
          <w:rFonts w:hint="default" w:ascii="Times New Roman" w:hAnsi="Times New Roman" w:cs="Times New Roman"/>
          <w:sz w:val="28"/>
          <w:szCs w:val="28"/>
        </w:rPr>
      </w:pPr>
      <w:r>
        <w:rPr>
          <w:rFonts w:hint="default" w:ascii="Times New Roman" w:hAnsi="Times New Roman" w:cs="Times New Roman"/>
          <w:sz w:val="28"/>
          <w:szCs w:val="28"/>
        </w:rPr>
        <w:t>заманауи білім беру технологияларын қолдану;</w:t>
      </w:r>
    </w:p>
    <w:p w14:paraId="6CADE1F9">
      <w:pPr>
        <w:pStyle w:val="24"/>
        <w:numPr>
          <w:ilvl w:val="0"/>
          <w:numId w:val="1"/>
        </w:numPr>
        <w:rPr>
          <w:rFonts w:hint="default" w:ascii="Times New Roman" w:hAnsi="Times New Roman" w:cs="Times New Roman"/>
          <w:sz w:val="28"/>
          <w:szCs w:val="28"/>
        </w:rPr>
      </w:pPr>
      <w:r>
        <w:rPr>
          <w:rFonts w:hint="default" w:ascii="Times New Roman" w:hAnsi="Times New Roman" w:cs="Times New Roman"/>
          <w:sz w:val="28"/>
          <w:szCs w:val="28"/>
        </w:rPr>
        <w:t>цифрлық білім беру ресурстарын пайдалану;</w:t>
      </w:r>
    </w:p>
    <w:p w14:paraId="27638325">
      <w:pPr>
        <w:pStyle w:val="24"/>
        <w:numPr>
          <w:ilvl w:val="0"/>
          <w:numId w:val="1"/>
        </w:numPr>
        <w:rPr>
          <w:rFonts w:hint="default" w:ascii="Times New Roman" w:hAnsi="Times New Roman" w:cs="Times New Roman"/>
          <w:sz w:val="28"/>
          <w:szCs w:val="28"/>
        </w:rPr>
      </w:pPr>
      <w:r>
        <w:rPr>
          <w:rFonts w:hint="default" w:ascii="Times New Roman" w:hAnsi="Times New Roman" w:cs="Times New Roman"/>
          <w:sz w:val="28"/>
          <w:szCs w:val="28"/>
        </w:rPr>
        <w:t>оқушылардың оқу жетістіктерін бағалау және кері байланыс сапасы;</w:t>
      </w:r>
    </w:p>
    <w:p w14:paraId="6EEDCF25">
      <w:pPr>
        <w:pStyle w:val="24"/>
        <w:numPr>
          <w:ilvl w:val="0"/>
          <w:numId w:val="1"/>
        </w:numPr>
        <w:rPr>
          <w:rFonts w:hint="default" w:ascii="Times New Roman" w:hAnsi="Times New Roman" w:cs="Times New Roman"/>
          <w:sz w:val="28"/>
          <w:szCs w:val="28"/>
        </w:rPr>
      </w:pPr>
      <w:r>
        <w:rPr>
          <w:rFonts w:hint="default" w:ascii="Times New Roman" w:hAnsi="Times New Roman" w:cs="Times New Roman"/>
          <w:sz w:val="28"/>
          <w:szCs w:val="28"/>
        </w:rPr>
        <w:t>санитарлық-педагогикалық талаптардың сақталуы;</w:t>
      </w:r>
    </w:p>
    <w:p w14:paraId="34D184A3">
      <w:pPr>
        <w:pStyle w:val="24"/>
        <w:numPr>
          <w:ilvl w:val="0"/>
          <w:numId w:val="1"/>
        </w:numPr>
        <w:rPr>
          <w:rFonts w:hint="default" w:ascii="Times New Roman" w:hAnsi="Times New Roman" w:cs="Times New Roman"/>
          <w:sz w:val="28"/>
          <w:szCs w:val="28"/>
        </w:rPr>
      </w:pPr>
      <w:r>
        <w:rPr>
          <w:rFonts w:hint="default" w:ascii="Times New Roman" w:hAnsi="Times New Roman" w:cs="Times New Roman"/>
          <w:sz w:val="28"/>
          <w:szCs w:val="28"/>
        </w:rPr>
        <w:t>жоспарланған оқу нәтижелеріне қол жеткізу деңгейі.</w:t>
      </w:r>
    </w:p>
    <w:p w14:paraId="41574B24">
      <w:pPr>
        <w:pStyle w:val="23"/>
        <w:rPr>
          <w:rFonts w:hint="default" w:ascii="Times New Roman" w:hAnsi="Times New Roman" w:cs="Times New Roman"/>
          <w:sz w:val="28"/>
          <w:szCs w:val="28"/>
        </w:rPr>
      </w:pPr>
      <w:r>
        <w:rPr>
          <w:rFonts w:hint="default" w:ascii="Times New Roman" w:hAnsi="Times New Roman" w:cs="Times New Roman"/>
          <w:sz w:val="28"/>
          <w:szCs w:val="28"/>
        </w:rPr>
        <w:t>Сабақтарға қатысу қорытындысы бойынша әрбір педагогке ұсыныстар беріліп, жеке консультациялар мен әңгімелесулер өткізілді. Сабаққа қатысу парақтарының материалдары педагогтерге әдістемелік көмек көрсетуді ұйымдастыруда, мектептің әдістемелік бірлестіктерінің жұмысын жоспарлауда және кәсіби шеберлікті арттыру бағыттарын айқындауда пайдаланылды.</w:t>
      </w:r>
    </w:p>
    <w:p w14:paraId="4F4EE600">
      <w:pPr>
        <w:pStyle w:val="3"/>
        <w:rPr>
          <w:rFonts w:hint="default" w:ascii="Times New Roman" w:hAnsi="Times New Roman" w:cs="Times New Roman"/>
          <w:sz w:val="28"/>
          <w:szCs w:val="28"/>
        </w:rPr>
      </w:pPr>
      <w:r>
        <w:rPr>
          <w:rFonts w:hint="default" w:ascii="Times New Roman" w:hAnsi="Times New Roman" w:cs="Times New Roman"/>
          <w:sz w:val="28"/>
          <w:szCs w:val="28"/>
        </w:rPr>
        <w:t>Сабаққа қатысу парақтарының толтырылу сапасын талдау құжаттардың басым бөлігі уақытылы рәсімделгенін және педагог қызметіне объективті баға, нақты қорытындылар мен білім беру үдерісін жетілдіруге бағытталған ұсыныстар қамтылғанын көрсетті.</w:t>
      </w:r>
    </w:p>
    <w:p w14:paraId="5E59816C">
      <w:pPr>
        <w:pStyle w:val="3"/>
        <w:rPr>
          <w:rFonts w:hint="default" w:ascii="Times New Roman" w:hAnsi="Times New Roman" w:cs="Times New Roman"/>
          <w:sz w:val="28"/>
          <w:szCs w:val="28"/>
        </w:rPr>
      </w:pPr>
      <w:r>
        <w:rPr>
          <w:rFonts w:hint="default" w:ascii="Times New Roman" w:hAnsi="Times New Roman" w:cs="Times New Roman"/>
          <w:b/>
          <w:bCs/>
          <w:sz w:val="28"/>
          <w:szCs w:val="28"/>
        </w:rPr>
        <w:t>Оң нәтижелер ретінде төмендегілер атап өтілді:</w:t>
      </w:r>
    </w:p>
    <w:p w14:paraId="12BA0740">
      <w:pPr>
        <w:pStyle w:val="24"/>
        <w:numPr>
          <w:ilvl w:val="0"/>
          <w:numId w:val="1"/>
        </w:numPr>
        <w:rPr>
          <w:rFonts w:hint="default" w:ascii="Times New Roman" w:hAnsi="Times New Roman" w:cs="Times New Roman"/>
          <w:sz w:val="28"/>
          <w:szCs w:val="28"/>
        </w:rPr>
      </w:pPr>
      <w:r>
        <w:rPr>
          <w:rFonts w:hint="default" w:ascii="Times New Roman" w:hAnsi="Times New Roman" w:cs="Times New Roman"/>
          <w:sz w:val="28"/>
          <w:szCs w:val="28"/>
        </w:rPr>
        <w:t>педагогтердің заманауи білім беру технологияларын белсенді қолдануы;</w:t>
      </w:r>
    </w:p>
    <w:p w14:paraId="26873B75">
      <w:pPr>
        <w:pStyle w:val="24"/>
        <w:numPr>
          <w:ilvl w:val="0"/>
          <w:numId w:val="1"/>
        </w:numPr>
        <w:rPr>
          <w:rFonts w:hint="default" w:ascii="Times New Roman" w:hAnsi="Times New Roman" w:cs="Times New Roman"/>
          <w:sz w:val="28"/>
          <w:szCs w:val="28"/>
        </w:rPr>
      </w:pPr>
      <w:r>
        <w:rPr>
          <w:rFonts w:hint="default" w:ascii="Times New Roman" w:hAnsi="Times New Roman" w:cs="Times New Roman"/>
          <w:sz w:val="28"/>
          <w:szCs w:val="28"/>
        </w:rPr>
        <w:t>саралап оқыту және тұлғаға бағдарланған оқыту элементтерін енгізуі;</w:t>
      </w:r>
    </w:p>
    <w:p w14:paraId="6A2AC789">
      <w:pPr>
        <w:pStyle w:val="24"/>
        <w:numPr>
          <w:ilvl w:val="0"/>
          <w:numId w:val="1"/>
        </w:numPr>
        <w:rPr>
          <w:rFonts w:hint="default" w:ascii="Times New Roman" w:hAnsi="Times New Roman" w:cs="Times New Roman"/>
          <w:sz w:val="28"/>
          <w:szCs w:val="28"/>
        </w:rPr>
      </w:pPr>
      <w:r>
        <w:rPr>
          <w:rFonts w:hint="default" w:ascii="Times New Roman" w:hAnsi="Times New Roman" w:cs="Times New Roman"/>
          <w:sz w:val="28"/>
          <w:szCs w:val="28"/>
        </w:rPr>
        <w:t>педагогтердің кәсіби шеберлігінің артуы;</w:t>
      </w:r>
    </w:p>
    <w:p w14:paraId="7BBF47F3">
      <w:pPr>
        <w:pStyle w:val="24"/>
        <w:numPr>
          <w:ilvl w:val="0"/>
          <w:numId w:val="1"/>
        </w:numPr>
        <w:rPr>
          <w:rFonts w:hint="default" w:ascii="Times New Roman" w:hAnsi="Times New Roman" w:cs="Times New Roman"/>
          <w:sz w:val="28"/>
          <w:szCs w:val="28"/>
        </w:rPr>
      </w:pPr>
      <w:r>
        <w:rPr>
          <w:rFonts w:hint="default" w:ascii="Times New Roman" w:hAnsi="Times New Roman" w:cs="Times New Roman"/>
          <w:sz w:val="28"/>
          <w:szCs w:val="28"/>
        </w:rPr>
        <w:t>сабақтарда білім алушылардың белсенділігінің жоғарылауы.</w:t>
      </w:r>
    </w:p>
    <w:p w14:paraId="75C44AC3">
      <w:pPr>
        <w:pStyle w:val="23"/>
        <w:rPr>
          <w:rFonts w:hint="default" w:ascii="Times New Roman" w:hAnsi="Times New Roman" w:cs="Times New Roman"/>
          <w:sz w:val="28"/>
          <w:szCs w:val="28"/>
        </w:rPr>
      </w:pPr>
      <w:r>
        <w:rPr>
          <w:rFonts w:hint="default" w:ascii="Times New Roman" w:hAnsi="Times New Roman" w:cs="Times New Roman"/>
          <w:sz w:val="28"/>
          <w:szCs w:val="28"/>
        </w:rPr>
        <w:t>Сонымен қатар бақылау барысында одан әрі жетілдіруді қажет ететін бірқатар мәселелер анықталды:</w:t>
      </w:r>
    </w:p>
    <w:p w14:paraId="67E55668">
      <w:pPr>
        <w:pStyle w:val="24"/>
        <w:numPr>
          <w:ilvl w:val="0"/>
          <w:numId w:val="1"/>
        </w:numPr>
        <w:rPr>
          <w:rFonts w:hint="default" w:ascii="Times New Roman" w:hAnsi="Times New Roman" w:cs="Times New Roman"/>
          <w:sz w:val="28"/>
          <w:szCs w:val="28"/>
        </w:rPr>
      </w:pPr>
      <w:r>
        <w:rPr>
          <w:rFonts w:hint="default" w:ascii="Times New Roman" w:hAnsi="Times New Roman" w:cs="Times New Roman"/>
          <w:sz w:val="28"/>
          <w:szCs w:val="28"/>
        </w:rPr>
        <w:t>білім алушылардың функционалдық сауаттылығын дамыту жұмыстарын күшейту;</w:t>
      </w:r>
    </w:p>
    <w:p w14:paraId="12454EB4">
      <w:pPr>
        <w:pStyle w:val="24"/>
        <w:numPr>
          <w:ilvl w:val="0"/>
          <w:numId w:val="1"/>
        </w:numPr>
        <w:rPr>
          <w:rFonts w:hint="default" w:ascii="Times New Roman" w:hAnsi="Times New Roman" w:cs="Times New Roman"/>
          <w:sz w:val="28"/>
          <w:szCs w:val="28"/>
        </w:rPr>
      </w:pPr>
      <w:r>
        <w:rPr>
          <w:rFonts w:hint="default" w:ascii="Times New Roman" w:hAnsi="Times New Roman" w:cs="Times New Roman"/>
          <w:sz w:val="28"/>
          <w:szCs w:val="28"/>
        </w:rPr>
        <w:t>зерттеушілік және жобалық оқыту әдістерін кеңінен қолдану;</w:t>
      </w:r>
    </w:p>
    <w:p w14:paraId="2080D6A9">
      <w:pPr>
        <w:pStyle w:val="24"/>
        <w:numPr>
          <w:ilvl w:val="0"/>
          <w:numId w:val="1"/>
        </w:numPr>
        <w:rPr>
          <w:rFonts w:hint="default" w:ascii="Times New Roman" w:hAnsi="Times New Roman" w:cs="Times New Roman"/>
          <w:sz w:val="28"/>
          <w:szCs w:val="28"/>
        </w:rPr>
      </w:pPr>
      <w:r>
        <w:rPr>
          <w:rFonts w:hint="default" w:ascii="Times New Roman" w:hAnsi="Times New Roman" w:cs="Times New Roman"/>
          <w:sz w:val="28"/>
          <w:szCs w:val="28"/>
        </w:rPr>
        <w:t>қалыптастырушы бағалау жүйесін жетілдіру;</w:t>
      </w:r>
    </w:p>
    <w:p w14:paraId="604005DE">
      <w:pPr>
        <w:pStyle w:val="24"/>
        <w:numPr>
          <w:ilvl w:val="0"/>
          <w:numId w:val="1"/>
        </w:numPr>
        <w:rPr>
          <w:rFonts w:hint="default" w:ascii="Times New Roman" w:hAnsi="Times New Roman" w:cs="Times New Roman"/>
          <w:sz w:val="28"/>
          <w:szCs w:val="28"/>
        </w:rPr>
      </w:pPr>
      <w:r>
        <w:rPr>
          <w:rFonts w:hint="default" w:ascii="Times New Roman" w:hAnsi="Times New Roman" w:cs="Times New Roman"/>
          <w:sz w:val="28"/>
          <w:szCs w:val="28"/>
        </w:rPr>
        <w:t>дайындық деңгейі әртүрлі оқушылармен жұмыстың тиімділігін арттыру.</w:t>
      </w:r>
    </w:p>
    <w:p w14:paraId="23DD40A0">
      <w:pPr>
        <w:pStyle w:val="23"/>
        <w:rPr>
          <w:rFonts w:hint="default" w:ascii="Times New Roman" w:hAnsi="Times New Roman" w:cs="Times New Roman"/>
          <w:sz w:val="28"/>
          <w:szCs w:val="28"/>
        </w:rPr>
      </w:pPr>
      <w:r>
        <w:rPr>
          <w:rFonts w:hint="default" w:ascii="Times New Roman" w:hAnsi="Times New Roman" w:cs="Times New Roman"/>
          <w:sz w:val="28"/>
          <w:szCs w:val="28"/>
        </w:rPr>
        <w:t>Талдау нәтижелері бойынша сабақтарға қатысу көрсеткіштері мектепішілік бақылау талаптарына сәйкес келетіні, ал сабаққа қатысу парақтарының рәсімделу сапасы оларды білім сапасын мониторингтеу мен арттырудың тиімді құралы ретінде пайдалануға мүмкіндік беретіні анықталды.</w:t>
      </w:r>
    </w:p>
    <w:p w14:paraId="68260CD5">
      <w:pPr>
        <w:pStyle w:val="3"/>
        <w:rPr>
          <w:rFonts w:hint="default" w:ascii="Times New Roman" w:hAnsi="Times New Roman" w:cs="Times New Roman"/>
          <w:sz w:val="28"/>
          <w:szCs w:val="28"/>
        </w:rPr>
      </w:pPr>
      <w:r>
        <w:rPr>
          <w:rFonts w:hint="default" w:ascii="Times New Roman" w:hAnsi="Times New Roman" w:cs="Times New Roman"/>
          <w:b/>
          <w:bCs/>
          <w:sz w:val="28"/>
          <w:szCs w:val="28"/>
        </w:rPr>
        <w:t>Қорытынды:</w:t>
      </w:r>
      <w:r>
        <w:rPr>
          <w:rFonts w:hint="default" w:ascii="Times New Roman" w:hAnsi="Times New Roman" w:cs="Times New Roman"/>
          <w:sz w:val="28"/>
          <w:szCs w:val="28"/>
        </w:rPr>
        <w:t xml:space="preserve"> мектеп әкімшілігінің сабақтарға қатысу және бақылау парақтарын рәсімдеу жұмысы жүйелі сипатқа ие, білім беру үдерісіне объективті баға беруді қамтамасыз етеді және педагогтердің кәсіби дамуы мен оқыту сапасын арттыруға ықпал етеді.</w:t>
      </w:r>
    </w:p>
    <w:bookmarkEnd w:id="0"/>
    <w:sectPr>
      <w:footnotePr>
        <w:numRestart w:val="eachSect"/>
      </w:footnote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Segoe UI"/>
    <w:panose1 w:val="020B0004020202020204"/>
    <w:charset w:val="86"/>
    <w:family w:val="swiss"/>
    <w:pitch w:val="default"/>
    <w:sig w:usb0="00000000" w:usb1="00000000" w:usb2="00000000" w:usb3="00000000" w:csb0="0000019F" w:csb1="00000000"/>
  </w:font>
  <w:font w:name="Aptos">
    <w:altName w:val="Segoe UI"/>
    <w:panose1 w:val="00000000000000000000"/>
    <w:charset w:val="00"/>
    <w:family w:val="auto"/>
    <w:pitch w:val="default"/>
    <w:sig w:usb0="00000000" w:usb1="00000000" w:usb2="00000000" w:usb3="00000000" w:csb0="00000000" w:csb1="00000000"/>
  </w:font>
  <w:font w:name="Aptos Display">
    <w:altName w:val="Segoe UI Variable Display"/>
    <w:panose1 w:val="020B0004020202020204"/>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00006FF" w:usb1="0000FCFF" w:usb2="00000001" w:usb3="00000000" w:csb0="6000019F" w:csb1="DFD7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 w:name="Segoe UI Variable Display">
    <w:panose1 w:val="00000000000000000000"/>
    <w:charset w:val="00"/>
    <w:family w:val="auto"/>
    <w:pitch w:val="default"/>
    <w:sig w:usb0="A00002FF" w:usb1="0000000B" w:usb2="00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A991"/>
    <w:multiLevelType w:val="multilevel"/>
    <w:tmpl w:val="0000A991"/>
    <w:lvl w:ilvl="0" w:tentative="0">
      <w:start w:val="0"/>
      <w:numFmt w:val="bullet"/>
      <w:lvlText w:val=""/>
      <w:lvlJc w:val="left"/>
      <w:pPr>
        <w:ind w:left="720" w:hanging="360"/>
      </w:pPr>
      <w:rPr>
        <w:rFonts w:hint="default" w:ascii="Symbol" w:hAnsi="Symbol" w:cs="Symbol"/>
      </w:rPr>
    </w:lvl>
    <w:lvl w:ilvl="1" w:tentative="0">
      <w:start w:val="0"/>
      <w:numFmt w:val="bullet"/>
      <w:lvlText w:val="o"/>
      <w:lvlJc w:val="left"/>
      <w:pPr>
        <w:ind w:left="1440" w:hanging="360"/>
      </w:pPr>
      <w:rPr>
        <w:rFonts w:hint="default" w:ascii="Courier New" w:hAnsi="Courier New" w:cs="Courier New"/>
      </w:rPr>
    </w:lvl>
    <w:lvl w:ilvl="2" w:tentative="0">
      <w:start w:val="0"/>
      <w:numFmt w:val="bullet"/>
      <w:lvlText w:val=""/>
      <w:lvlJc w:val="left"/>
      <w:pPr>
        <w:ind w:left="2160" w:hanging="360"/>
      </w:pPr>
      <w:rPr>
        <w:rFonts w:hint="default" w:ascii="Wingdings" w:hAnsi="Wingdings" w:cs="Wingdings"/>
      </w:rPr>
    </w:lvl>
    <w:lvl w:ilvl="3" w:tentative="0">
      <w:start w:val="0"/>
      <w:numFmt w:val="bullet"/>
      <w:lvlText w:val=""/>
      <w:lvlJc w:val="left"/>
      <w:pPr>
        <w:ind w:left="2880" w:hanging="360"/>
      </w:pPr>
      <w:rPr>
        <w:rFonts w:hint="default" w:ascii="Symbol" w:hAnsi="Symbol" w:cs="Symbol"/>
      </w:rPr>
    </w:lvl>
    <w:lvl w:ilvl="4" w:tentative="0">
      <w:start w:val="0"/>
      <w:numFmt w:val="bullet"/>
      <w:lvlText w:val="o"/>
      <w:lvlJc w:val="left"/>
      <w:pPr>
        <w:ind w:left="3600" w:hanging="360"/>
      </w:pPr>
      <w:rPr>
        <w:rFonts w:hint="default" w:ascii="Courier New" w:hAnsi="Courier New" w:cs="Courier New"/>
      </w:rPr>
    </w:lvl>
    <w:lvl w:ilvl="5" w:tentative="0">
      <w:start w:val="0"/>
      <w:numFmt w:val="bullet"/>
      <w:lvlText w:val=""/>
      <w:lvlJc w:val="left"/>
      <w:pPr>
        <w:ind w:left="4320" w:hanging="360"/>
      </w:pPr>
      <w:rPr>
        <w:rFonts w:hint="default" w:ascii="Wingdings" w:hAnsi="Wingdings" w:cs="Wingdings"/>
      </w:rPr>
    </w:lvl>
    <w:lvl w:ilvl="6" w:tentative="0">
      <w:start w:val="0"/>
      <w:numFmt w:val="bullet"/>
      <w:lvlText w:val=""/>
      <w:lvlJc w:val="left"/>
      <w:pPr>
        <w:ind w:left="5040" w:hanging="360"/>
      </w:pPr>
      <w:rPr>
        <w:rFonts w:hint="default" w:ascii="Symbol" w:hAnsi="Symbol" w:cs="Symbol"/>
      </w:rPr>
    </w:lvl>
    <w:lvl w:ilvl="7" w:tentative="0">
      <w:start w:val="0"/>
      <w:numFmt w:val="bullet"/>
      <w:lvlText w:val="o"/>
      <w:lvlJc w:val="left"/>
      <w:pPr>
        <w:ind w:left="5760" w:hanging="360"/>
      </w:pPr>
      <w:rPr>
        <w:rFonts w:hint="default" w:ascii="Courier New" w:hAnsi="Courier New" w:cs="Courier New"/>
      </w:rPr>
    </w:lvl>
    <w:lvl w:ilvl="8" w:tentative="0">
      <w:start w:val="0"/>
      <w:numFmt w:val="bullet"/>
      <w:lvlText w:val=""/>
      <w:lvlJc w:val="left"/>
      <w:pPr>
        <w:ind w:left="6480" w:hanging="360"/>
      </w:pPr>
      <w:rPr>
        <w:rFonts w:hint="default" w:ascii="Wingdings" w:hAnsi="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footnotePr>
    <w:numRestart w:val="eachSect"/>
    <w:footnote w:id="0"/>
    <w:footnote w:id="1"/>
  </w:footnotePr>
  <w:compat>
    <w:splitPgBreakAndParaMark/>
    <w:compatSetting w:name="compatibilityMode" w:uri="http://schemas.microsoft.com/office/word" w:val="12"/>
  </w:compat>
  <w:rsids>
    <w:rsidRoot w:val="00000000"/>
    <w:rsid w:val="0B7E7A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pPr>
      <w:spacing w:after="200"/>
    </w:pPr>
    <w:rPr>
      <w:rFonts w:asciiTheme="minorHAnsi" w:hAnsiTheme="minorHAnsi" w:eastAsiaTheme="minorHAnsi" w:cstheme="minorBidi"/>
      <w:sz w:val="24"/>
      <w:szCs w:val="24"/>
      <w:lang w:val="en-US" w:eastAsia="en-US" w:bidi="ar-SA"/>
    </w:rPr>
  </w:style>
  <w:style w:type="paragraph" w:styleId="2">
    <w:name w:val="heading 1"/>
    <w:basedOn w:val="1"/>
    <w:next w:val="3"/>
    <w:link w:val="31"/>
    <w:qFormat/>
    <w:uiPriority w:val="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4">
    <w:name w:val="heading 2"/>
    <w:basedOn w:val="1"/>
    <w:next w:val="3"/>
    <w:link w:val="32"/>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5">
    <w:name w:val="heading 3"/>
    <w:basedOn w:val="1"/>
    <w:next w:val="3"/>
    <w:link w:val="33"/>
    <w:semiHidden/>
    <w:unhideWhenUsed/>
    <w:qFormat/>
    <w:uiPriority w:val="9"/>
    <w:pPr>
      <w:keepNext/>
      <w:keepLines/>
      <w:spacing w:before="160" w:after="80"/>
      <w:outlineLvl w:val="2"/>
    </w:pPr>
    <w:rPr>
      <w:rFonts w:eastAsiaTheme="majorEastAsia" w:cstheme="majorBidi"/>
      <w:color w:val="0F4761" w:themeColor="accent1" w:themeShade="BF"/>
      <w:sz w:val="28"/>
      <w:szCs w:val="28"/>
    </w:rPr>
  </w:style>
  <w:style w:type="paragraph" w:styleId="6">
    <w:name w:val="heading 4"/>
    <w:basedOn w:val="1"/>
    <w:next w:val="3"/>
    <w:link w:val="34"/>
    <w:semiHidden/>
    <w:unhideWhenUsed/>
    <w:qFormat/>
    <w:uiPriority w:val="9"/>
    <w:pPr>
      <w:keepNext/>
      <w:keepLines/>
      <w:spacing w:before="80" w:after="40"/>
      <w:outlineLvl w:val="3"/>
    </w:pPr>
    <w:rPr>
      <w:rFonts w:eastAsiaTheme="majorEastAsia" w:cstheme="majorBidi"/>
      <w:i/>
      <w:iCs/>
      <w:color w:val="0F4761" w:themeColor="accent1" w:themeShade="BF"/>
    </w:rPr>
  </w:style>
  <w:style w:type="paragraph" w:styleId="7">
    <w:name w:val="heading 5"/>
    <w:basedOn w:val="1"/>
    <w:next w:val="3"/>
    <w:link w:val="35"/>
    <w:semiHidden/>
    <w:unhideWhenUsed/>
    <w:qFormat/>
    <w:uiPriority w:val="9"/>
    <w:pPr>
      <w:keepNext/>
      <w:keepLines/>
      <w:spacing w:before="80" w:after="40"/>
      <w:outlineLvl w:val="4"/>
    </w:pPr>
    <w:rPr>
      <w:rFonts w:eastAsiaTheme="majorEastAsia" w:cstheme="majorBidi"/>
      <w:color w:val="0F4761" w:themeColor="accent1" w:themeShade="BF"/>
    </w:rPr>
  </w:style>
  <w:style w:type="paragraph" w:styleId="8">
    <w:name w:val="heading 6"/>
    <w:basedOn w:val="1"/>
    <w:next w:val="3"/>
    <w:link w:val="36"/>
    <w:semiHidden/>
    <w:unhideWhenUsed/>
    <w:qFormat/>
    <w:uiPriority w:val="9"/>
    <w:pPr>
      <w:keepNext/>
      <w:keepLines/>
      <w:spacing w:before="40" w:after="0"/>
      <w:outlineLvl w:val="5"/>
    </w:pPr>
    <w:rPr>
      <w:rFonts w:eastAsiaTheme="majorEastAsia" w:cstheme="majorBidi"/>
      <w:i/>
      <w:iCs/>
      <w:color w:val="585858" w:themeColor="text1" w:themeTint="A6"/>
    </w:rPr>
  </w:style>
  <w:style w:type="paragraph" w:styleId="9">
    <w:name w:val="heading 7"/>
    <w:basedOn w:val="1"/>
    <w:next w:val="3"/>
    <w:link w:val="37"/>
    <w:semiHidden/>
    <w:unhideWhenUsed/>
    <w:qFormat/>
    <w:uiPriority w:val="9"/>
    <w:pPr>
      <w:keepNext/>
      <w:keepLines/>
      <w:spacing w:before="40" w:after="0"/>
      <w:outlineLvl w:val="6"/>
    </w:pPr>
    <w:rPr>
      <w:rFonts w:eastAsiaTheme="majorEastAsia" w:cstheme="majorBidi"/>
      <w:color w:val="585858" w:themeColor="text1" w:themeTint="A6"/>
    </w:rPr>
  </w:style>
  <w:style w:type="paragraph" w:styleId="10">
    <w:name w:val="heading 8"/>
    <w:basedOn w:val="1"/>
    <w:next w:val="3"/>
    <w:link w:val="38"/>
    <w:semiHidden/>
    <w:unhideWhenUsed/>
    <w:qFormat/>
    <w:uiPriority w:val="9"/>
    <w:pPr>
      <w:keepNext/>
      <w:keepLines/>
      <w:spacing w:after="0"/>
      <w:outlineLvl w:val="7"/>
    </w:pPr>
    <w:rPr>
      <w:rFonts w:eastAsiaTheme="majorEastAsia" w:cstheme="majorBidi"/>
      <w:i/>
      <w:iCs/>
      <w:color w:val="262626" w:themeColor="text1" w:themeTint="D8"/>
    </w:rPr>
  </w:style>
  <w:style w:type="paragraph" w:styleId="11">
    <w:name w:val="heading 9"/>
    <w:basedOn w:val="1"/>
    <w:next w:val="3"/>
    <w:link w:val="39"/>
    <w:semiHidden/>
    <w:unhideWhenUsed/>
    <w:qFormat/>
    <w:uiPriority w:val="9"/>
    <w:pPr>
      <w:keepNext/>
      <w:keepLines/>
      <w:spacing w:after="0"/>
      <w:outlineLvl w:val="8"/>
    </w:pPr>
    <w:rPr>
      <w:rFonts w:eastAsiaTheme="majorEastAsia" w:cstheme="majorBidi"/>
      <w:color w:val="262626" w:themeColor="text1" w:themeTint="D8"/>
    </w:rPr>
  </w:style>
  <w:style w:type="character" w:default="1" w:styleId="12">
    <w:name w:val="Default Paragraph Font"/>
    <w:semiHidden/>
    <w:unhideWhenUsed/>
    <w:qFormat/>
    <w:uiPriority w:val="0"/>
  </w:style>
  <w:style w:type="table" w:default="1" w:styleId="13">
    <w:name w:val="Normal Table"/>
    <w:uiPriority w:val="0"/>
    <w:tblPr>
      <w:tblCellMar>
        <w:top w:w="0" w:type="dxa"/>
        <w:left w:w="108" w:type="dxa"/>
        <w:bottom w:w="0" w:type="dxa"/>
        <w:right w:w="108" w:type="dxa"/>
      </w:tblCellMar>
    </w:tblPr>
  </w:style>
  <w:style w:type="paragraph" w:styleId="3">
    <w:name w:val="Body Text"/>
    <w:basedOn w:val="1"/>
    <w:link w:val="15"/>
    <w:qFormat/>
    <w:uiPriority w:val="0"/>
    <w:pPr>
      <w:spacing w:before="180" w:after="180"/>
    </w:pPr>
  </w:style>
  <w:style w:type="character" w:styleId="14">
    <w:name w:val="footnote reference"/>
    <w:basedOn w:val="15"/>
    <w:qFormat/>
    <w:uiPriority w:val="0"/>
    <w:rPr>
      <w:vertAlign w:val="superscript"/>
    </w:rPr>
  </w:style>
  <w:style w:type="character" w:customStyle="1" w:styleId="15">
    <w:name w:val="Body Text Char"/>
    <w:basedOn w:val="12"/>
    <w:link w:val="3"/>
    <w:qFormat/>
    <w:uiPriority w:val="0"/>
  </w:style>
  <w:style w:type="character" w:styleId="16">
    <w:name w:val="Hyperlink"/>
    <w:basedOn w:val="15"/>
    <w:qFormat/>
    <w:uiPriority w:val="0"/>
    <w:rPr>
      <w:color w:val="156082" w:themeColor="accent1"/>
    </w:rPr>
  </w:style>
  <w:style w:type="paragraph" w:styleId="17">
    <w:name w:val="caption"/>
    <w:basedOn w:val="1"/>
    <w:qFormat/>
    <w:uiPriority w:val="0"/>
    <w:pPr>
      <w:spacing w:before="0" w:after="120"/>
    </w:pPr>
    <w:rPr>
      <w:i/>
    </w:rPr>
  </w:style>
  <w:style w:type="paragraph" w:styleId="18">
    <w:name w:val="footnote text"/>
    <w:basedOn w:val="1"/>
    <w:unhideWhenUsed/>
    <w:qFormat/>
    <w:uiPriority w:val="9"/>
  </w:style>
  <w:style w:type="paragraph" w:styleId="19">
    <w:name w:val="Date"/>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styleId="20">
    <w:name w:val="Title"/>
    <w:basedOn w:val="1"/>
    <w:next w:val="3"/>
    <w:link w:val="25"/>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21">
    <w:name w:val="Subtitle"/>
    <w:basedOn w:val="20"/>
    <w:next w:val="3"/>
    <w:link w:val="26"/>
    <w:qFormat/>
    <w:uiPriority w:val="11"/>
    <w:rPr>
      <w:rFonts w:eastAsiaTheme="majorEastAsia" w:cstheme="majorBidi"/>
      <w:spacing w:val="15"/>
      <w:sz w:val="28"/>
      <w:szCs w:val="28"/>
    </w:rPr>
  </w:style>
  <w:style w:type="paragraph" w:styleId="22">
    <w:name w:val="Block Text"/>
    <w:basedOn w:val="3"/>
    <w:next w:val="3"/>
    <w:unhideWhenUsed/>
    <w:qFormat/>
    <w:uiPriority w:val="9"/>
    <w:pPr>
      <w:spacing w:before="100" w:after="100"/>
      <w:ind w:left="480" w:right="480" w:firstLine="0"/>
    </w:p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character" w:customStyle="1" w:styleId="25">
    <w:name w:val="Title Char"/>
    <w:basedOn w:val="12"/>
    <w:link w:val="20"/>
    <w:qFormat/>
    <w:uiPriority w:val="10"/>
    <w:rPr>
      <w:rFonts w:asciiTheme="majorHAnsi" w:hAnsiTheme="majorHAnsi" w:eastAsiaTheme="majorEastAsia" w:cstheme="majorBidi"/>
      <w:spacing w:val="-10"/>
      <w:kern w:val="28"/>
      <w:sz w:val="56"/>
      <w:szCs w:val="56"/>
    </w:rPr>
  </w:style>
  <w:style w:type="character" w:customStyle="1" w:styleId="26">
    <w:name w:val="Subtitle Char"/>
    <w:basedOn w:val="12"/>
    <w:link w:val="21"/>
    <w:uiPriority w:val="11"/>
    <w:rPr>
      <w:rFonts w:eastAsiaTheme="majorEastAsia" w:cstheme="majorBidi"/>
      <w:color w:val="585858" w:themeColor="text1" w:themeTint="A6"/>
      <w:spacing w:val="15"/>
      <w:sz w:val="28"/>
      <w:szCs w:val="28"/>
    </w:rPr>
  </w:style>
  <w:style w:type="paragraph" w:customStyle="1" w:styleId="27">
    <w:name w:val="Author"/>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customStyle="1" w:styleId="28">
    <w:name w:val="Abstract Title"/>
    <w:basedOn w:val="1"/>
    <w:next w:val="29"/>
    <w:qFormat/>
    <w:uiPriority w:val="0"/>
    <w:pPr>
      <w:keepNext/>
      <w:keepLines/>
      <w:spacing w:before="300" w:after="0"/>
      <w:jc w:val="center"/>
    </w:pPr>
    <w:rPr>
      <w:b/>
      <w:sz w:val="20"/>
      <w:szCs w:val="20"/>
    </w:rPr>
  </w:style>
  <w:style w:type="paragraph" w:customStyle="1" w:styleId="29">
    <w:name w:val="Abstract"/>
    <w:basedOn w:val="1"/>
    <w:next w:val="3"/>
    <w:qFormat/>
    <w:uiPriority w:val="0"/>
    <w:pPr>
      <w:keepNext/>
      <w:keepLines/>
      <w:spacing w:before="100" w:after="300"/>
    </w:pPr>
    <w:rPr>
      <w:sz w:val="20"/>
      <w:szCs w:val="20"/>
    </w:rPr>
  </w:style>
  <w:style w:type="paragraph" w:customStyle="1" w:styleId="30">
    <w:name w:val="Bibliography"/>
    <w:basedOn w:val="1"/>
    <w:qFormat/>
    <w:uiPriority w:val="0"/>
  </w:style>
  <w:style w:type="character" w:customStyle="1" w:styleId="31">
    <w:name w:val="Heading 1 Char"/>
    <w:basedOn w:val="12"/>
    <w:link w:val="2"/>
    <w:qFormat/>
    <w:uiPriority w:val="9"/>
    <w:rPr>
      <w:rFonts w:asciiTheme="majorHAnsi" w:hAnsiTheme="majorHAnsi" w:eastAsiaTheme="majorEastAsia" w:cstheme="majorBidi"/>
      <w:color w:val="0F4761" w:themeColor="accent1" w:themeShade="BF"/>
      <w:sz w:val="40"/>
      <w:szCs w:val="40"/>
    </w:rPr>
  </w:style>
  <w:style w:type="character" w:customStyle="1" w:styleId="32">
    <w:name w:val="Heading 2 Char"/>
    <w:basedOn w:val="12"/>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33">
    <w:name w:val="Heading 3 Char"/>
    <w:basedOn w:val="12"/>
    <w:link w:val="5"/>
    <w:semiHidden/>
    <w:qFormat/>
    <w:uiPriority w:val="9"/>
    <w:rPr>
      <w:rFonts w:eastAsiaTheme="majorEastAsia" w:cstheme="majorBidi"/>
      <w:color w:val="0F4761" w:themeColor="accent1" w:themeShade="BF"/>
      <w:sz w:val="28"/>
      <w:szCs w:val="28"/>
    </w:rPr>
  </w:style>
  <w:style w:type="character" w:customStyle="1" w:styleId="34">
    <w:name w:val="Heading 4 Char"/>
    <w:basedOn w:val="12"/>
    <w:link w:val="6"/>
    <w:semiHidden/>
    <w:qFormat/>
    <w:uiPriority w:val="9"/>
    <w:rPr>
      <w:rFonts w:eastAsiaTheme="majorEastAsia" w:cstheme="majorBidi"/>
      <w:i/>
      <w:iCs/>
      <w:color w:val="0F4761" w:themeColor="accent1" w:themeShade="BF"/>
    </w:rPr>
  </w:style>
  <w:style w:type="character" w:customStyle="1" w:styleId="35">
    <w:name w:val="Heading 5 Char"/>
    <w:basedOn w:val="12"/>
    <w:link w:val="7"/>
    <w:semiHidden/>
    <w:qFormat/>
    <w:uiPriority w:val="9"/>
    <w:rPr>
      <w:rFonts w:eastAsiaTheme="majorEastAsia" w:cstheme="majorBidi"/>
      <w:color w:val="0F4761" w:themeColor="accent1" w:themeShade="BF"/>
    </w:rPr>
  </w:style>
  <w:style w:type="character" w:customStyle="1" w:styleId="36">
    <w:name w:val="Heading 6 Char"/>
    <w:basedOn w:val="12"/>
    <w:link w:val="8"/>
    <w:semiHidden/>
    <w:qFormat/>
    <w:uiPriority w:val="9"/>
    <w:rPr>
      <w:rFonts w:eastAsiaTheme="majorEastAsia" w:cstheme="majorBidi"/>
      <w:i/>
      <w:iCs/>
      <w:color w:val="585858" w:themeColor="text1" w:themeTint="A6"/>
    </w:rPr>
  </w:style>
  <w:style w:type="character" w:customStyle="1" w:styleId="37">
    <w:name w:val="Heading 7 Char"/>
    <w:basedOn w:val="12"/>
    <w:link w:val="9"/>
    <w:semiHidden/>
    <w:uiPriority w:val="9"/>
    <w:rPr>
      <w:rFonts w:eastAsiaTheme="majorEastAsia" w:cstheme="majorBidi"/>
      <w:color w:val="585858" w:themeColor="text1" w:themeTint="A6"/>
    </w:rPr>
  </w:style>
  <w:style w:type="character" w:customStyle="1" w:styleId="38">
    <w:name w:val="Heading 8 Char"/>
    <w:basedOn w:val="12"/>
    <w:link w:val="10"/>
    <w:semiHidden/>
    <w:qFormat/>
    <w:uiPriority w:val="9"/>
    <w:rPr>
      <w:rFonts w:eastAsiaTheme="majorEastAsia" w:cstheme="majorBidi"/>
      <w:i/>
      <w:iCs/>
      <w:color w:val="262626" w:themeColor="text1" w:themeTint="D8"/>
    </w:rPr>
  </w:style>
  <w:style w:type="character" w:customStyle="1" w:styleId="39">
    <w:name w:val="Heading 9 Char"/>
    <w:basedOn w:val="12"/>
    <w:link w:val="11"/>
    <w:semiHidden/>
    <w:qFormat/>
    <w:uiPriority w:val="9"/>
    <w:rPr>
      <w:rFonts w:eastAsiaTheme="majorEastAsia" w:cstheme="majorBidi"/>
      <w:color w:val="262626" w:themeColor="text1" w:themeTint="D8"/>
    </w:rPr>
  </w:style>
  <w:style w:type="paragraph" w:customStyle="1" w:styleId="40">
    <w:name w:val="Footnote Block Text"/>
    <w:basedOn w:val="18"/>
    <w:next w:val="18"/>
    <w:unhideWhenUsed/>
    <w:qFormat/>
    <w:uiPriority w:val="9"/>
    <w:pPr>
      <w:spacing w:before="100" w:after="100"/>
      <w:ind w:left="480" w:right="480" w:firstLine="0"/>
    </w:pPr>
  </w:style>
  <w:style w:type="table" w:customStyle="1" w:styleId="41">
    <w:name w:val="Table"/>
    <w:semiHidden/>
    <w:unhideWhenUsed/>
    <w:qFormat/>
    <w:uiPriority w:val="0"/>
    <w:tblPr>
      <w:tblCellMar>
        <w:top w:w="0" w:type="dxa"/>
        <w:left w:w="108" w:type="dxa"/>
        <w:bottom w:w="0" w:type="dxa"/>
        <w:right w:w="108" w:type="dxa"/>
      </w:tblCellMar>
    </w:tblPr>
    <w:tblStylePr w:type="firstRow">
      <w:tblPr/>
      <w:tcPr>
        <w:tcBorders>
          <w:bottom w:val="single" w:color="auto" w:sz="0" w:space="0"/>
        </w:tcBorders>
        <w:vAlign w:val="bottom"/>
      </w:tcPr>
    </w:tblStylePr>
  </w:style>
  <w:style w:type="paragraph" w:customStyle="1" w:styleId="42">
    <w:name w:val="Definition Term"/>
    <w:basedOn w:val="1"/>
    <w:next w:val="43"/>
    <w:qFormat/>
    <w:uiPriority w:val="0"/>
    <w:pPr>
      <w:keepNext/>
      <w:keepLines/>
      <w:spacing w:after="0"/>
    </w:pPr>
    <w:rPr>
      <w:b/>
    </w:rPr>
  </w:style>
  <w:style w:type="paragraph" w:customStyle="1" w:styleId="43">
    <w:name w:val="Definition"/>
    <w:basedOn w:val="1"/>
    <w:qFormat/>
    <w:uiPriority w:val="0"/>
  </w:style>
  <w:style w:type="paragraph" w:customStyle="1" w:styleId="44">
    <w:name w:val="Table Caption"/>
    <w:basedOn w:val="17"/>
    <w:qFormat/>
    <w:uiPriority w:val="0"/>
    <w:pPr>
      <w:keepNext/>
    </w:pPr>
  </w:style>
  <w:style w:type="paragraph" w:customStyle="1" w:styleId="45">
    <w:name w:val="Image Caption"/>
    <w:basedOn w:val="17"/>
    <w:qFormat/>
    <w:uiPriority w:val="0"/>
  </w:style>
  <w:style w:type="paragraph" w:customStyle="1" w:styleId="46">
    <w:name w:val="Figure"/>
    <w:basedOn w:val="1"/>
    <w:qFormat/>
    <w:uiPriority w:val="0"/>
  </w:style>
  <w:style w:type="paragraph" w:customStyle="1" w:styleId="47">
    <w:name w:val="Captioned Figure"/>
    <w:basedOn w:val="46"/>
    <w:qFormat/>
    <w:uiPriority w:val="0"/>
    <w:pPr>
      <w:keepNext/>
    </w:pPr>
  </w:style>
  <w:style w:type="character" w:customStyle="1" w:styleId="48">
    <w:name w:val="Verbatim Char"/>
    <w:basedOn w:val="15"/>
    <w:link w:val="49"/>
    <w:qFormat/>
    <w:uiPriority w:val="0"/>
    <w:rPr>
      <w:rFonts w:ascii="Consolas" w:hAnsi="Consolas"/>
      <w:sz w:val="22"/>
    </w:rPr>
  </w:style>
  <w:style w:type="paragraph" w:customStyle="1" w:styleId="49">
    <w:name w:val="Source Code"/>
    <w:basedOn w:val="1"/>
    <w:link w:val="48"/>
    <w:qFormat/>
    <w:uiPriority w:val="0"/>
    <w:pPr>
      <w:wordWrap w:val="0"/>
    </w:pPr>
  </w:style>
  <w:style w:type="character" w:customStyle="1" w:styleId="50">
    <w:name w:val="Section Number"/>
    <w:basedOn w:val="15"/>
    <w:qFormat/>
    <w:uiPriority w:val="0"/>
  </w:style>
  <w:style w:type="paragraph" w:customStyle="1" w:styleId="51">
    <w:name w:val="TOC Heading"/>
    <w:basedOn w:val="2"/>
    <w:next w:val="3"/>
    <w:unhideWhenUsed/>
    <w:qFormat/>
    <w:uiPriority w:val="39"/>
    <w:pPr>
      <w:spacing w:before="240" w:line="259" w:lineRule="auto"/>
      <w:outlineLvl w:val="9"/>
    </w:pPr>
    <w:rPr>
      <w:rFonts w:asciiTheme="majorHAnsi" w:hAnsiTheme="majorHAnsi" w:eastAsiaTheme="majorEastAsia" w:cstheme="majorBidi"/>
      <w:color w:val="0F4761" w:themeColor="accent1" w:themeShade="BF"/>
    </w:rPr>
  </w:style>
  <w:style w:type="character" w:customStyle="1" w:styleId="52">
    <w:name w:val="KeywordTok"/>
    <w:basedOn w:val="48"/>
    <w:uiPriority w:val="0"/>
    <w:rPr>
      <w:b/>
      <w:color w:val="007020"/>
    </w:rPr>
  </w:style>
  <w:style w:type="character" w:customStyle="1" w:styleId="53">
    <w:name w:val="DataTypeTok"/>
    <w:basedOn w:val="48"/>
    <w:uiPriority w:val="0"/>
    <w:rPr>
      <w:color w:val="902000"/>
    </w:rPr>
  </w:style>
  <w:style w:type="character" w:customStyle="1" w:styleId="54">
    <w:name w:val="DecValTok"/>
    <w:basedOn w:val="48"/>
    <w:uiPriority w:val="0"/>
    <w:rPr>
      <w:color w:val="40A070"/>
    </w:rPr>
  </w:style>
  <w:style w:type="character" w:customStyle="1" w:styleId="55">
    <w:name w:val="BaseNTok"/>
    <w:basedOn w:val="48"/>
    <w:uiPriority w:val="0"/>
    <w:rPr>
      <w:color w:val="40A070"/>
    </w:rPr>
  </w:style>
  <w:style w:type="character" w:customStyle="1" w:styleId="56">
    <w:name w:val="FloatTok"/>
    <w:basedOn w:val="48"/>
    <w:uiPriority w:val="0"/>
    <w:rPr>
      <w:color w:val="40A070"/>
    </w:rPr>
  </w:style>
  <w:style w:type="character" w:customStyle="1" w:styleId="57">
    <w:name w:val="ConstantTok"/>
    <w:basedOn w:val="48"/>
    <w:uiPriority w:val="0"/>
    <w:rPr>
      <w:color w:val="880000"/>
    </w:rPr>
  </w:style>
  <w:style w:type="character" w:customStyle="1" w:styleId="58">
    <w:name w:val="CharTok"/>
    <w:basedOn w:val="48"/>
    <w:uiPriority w:val="0"/>
    <w:rPr>
      <w:color w:val="4070A0"/>
    </w:rPr>
  </w:style>
  <w:style w:type="character" w:customStyle="1" w:styleId="59">
    <w:name w:val="SpecialCharTok"/>
    <w:basedOn w:val="48"/>
    <w:uiPriority w:val="0"/>
    <w:rPr>
      <w:color w:val="4070A0"/>
    </w:rPr>
  </w:style>
  <w:style w:type="character" w:customStyle="1" w:styleId="60">
    <w:name w:val="StringTok"/>
    <w:basedOn w:val="48"/>
    <w:uiPriority w:val="0"/>
    <w:rPr>
      <w:color w:val="4070A0"/>
    </w:rPr>
  </w:style>
  <w:style w:type="character" w:customStyle="1" w:styleId="61">
    <w:name w:val="VerbatimStringTok"/>
    <w:basedOn w:val="48"/>
    <w:uiPriority w:val="0"/>
    <w:rPr>
      <w:color w:val="4070A0"/>
    </w:rPr>
  </w:style>
  <w:style w:type="character" w:customStyle="1" w:styleId="62">
    <w:name w:val="SpecialStringTok"/>
    <w:basedOn w:val="48"/>
    <w:uiPriority w:val="0"/>
    <w:rPr>
      <w:color w:val="BB6688"/>
    </w:rPr>
  </w:style>
  <w:style w:type="character" w:customStyle="1" w:styleId="63">
    <w:name w:val="ImportTok"/>
    <w:basedOn w:val="48"/>
    <w:uiPriority w:val="0"/>
    <w:rPr>
      <w:b/>
      <w:color w:val="008000"/>
    </w:rPr>
  </w:style>
  <w:style w:type="character" w:customStyle="1" w:styleId="64">
    <w:name w:val="CommentTok"/>
    <w:basedOn w:val="48"/>
    <w:uiPriority w:val="0"/>
    <w:rPr>
      <w:i/>
      <w:color w:val="60A0B0"/>
    </w:rPr>
  </w:style>
  <w:style w:type="character" w:customStyle="1" w:styleId="65">
    <w:name w:val="DocumentationTok"/>
    <w:basedOn w:val="48"/>
    <w:uiPriority w:val="0"/>
    <w:rPr>
      <w:i/>
      <w:color w:val="BA2121"/>
    </w:rPr>
  </w:style>
  <w:style w:type="character" w:customStyle="1" w:styleId="66">
    <w:name w:val="AnnotationTok"/>
    <w:basedOn w:val="48"/>
    <w:uiPriority w:val="0"/>
    <w:rPr>
      <w:b/>
      <w:i/>
      <w:color w:val="60A0B0"/>
    </w:rPr>
  </w:style>
  <w:style w:type="character" w:customStyle="1" w:styleId="67">
    <w:name w:val="CommentVarTok"/>
    <w:basedOn w:val="48"/>
    <w:uiPriority w:val="0"/>
    <w:rPr>
      <w:b/>
      <w:i/>
      <w:color w:val="60A0B0"/>
    </w:rPr>
  </w:style>
  <w:style w:type="character" w:customStyle="1" w:styleId="68">
    <w:name w:val="OtherTok"/>
    <w:basedOn w:val="48"/>
    <w:uiPriority w:val="0"/>
    <w:rPr>
      <w:color w:val="007020"/>
    </w:rPr>
  </w:style>
  <w:style w:type="character" w:customStyle="1" w:styleId="69">
    <w:name w:val="FunctionTok"/>
    <w:basedOn w:val="48"/>
    <w:uiPriority w:val="0"/>
    <w:rPr>
      <w:color w:val="06287E"/>
    </w:rPr>
  </w:style>
  <w:style w:type="character" w:customStyle="1" w:styleId="70">
    <w:name w:val="VariableTok"/>
    <w:basedOn w:val="48"/>
    <w:uiPriority w:val="0"/>
    <w:rPr>
      <w:color w:val="19177C"/>
    </w:rPr>
  </w:style>
  <w:style w:type="character" w:customStyle="1" w:styleId="71">
    <w:name w:val="ControlFlowTok"/>
    <w:basedOn w:val="48"/>
    <w:uiPriority w:val="0"/>
    <w:rPr>
      <w:b/>
      <w:color w:val="007020"/>
    </w:rPr>
  </w:style>
  <w:style w:type="character" w:customStyle="1" w:styleId="72">
    <w:name w:val="OperatorTok"/>
    <w:basedOn w:val="48"/>
    <w:uiPriority w:val="0"/>
    <w:rPr>
      <w:color w:val="666666"/>
    </w:rPr>
  </w:style>
  <w:style w:type="character" w:customStyle="1" w:styleId="73">
    <w:name w:val="BuiltInTok"/>
    <w:basedOn w:val="48"/>
    <w:uiPriority w:val="0"/>
    <w:rPr>
      <w:color w:val="008000"/>
    </w:rPr>
  </w:style>
  <w:style w:type="character" w:customStyle="1" w:styleId="74">
    <w:name w:val="ExtensionTok"/>
    <w:basedOn w:val="48"/>
    <w:uiPriority w:val="0"/>
  </w:style>
  <w:style w:type="character" w:customStyle="1" w:styleId="75">
    <w:name w:val="PreprocessorTok"/>
    <w:basedOn w:val="48"/>
    <w:uiPriority w:val="0"/>
    <w:rPr>
      <w:color w:val="BC7A00"/>
    </w:rPr>
  </w:style>
  <w:style w:type="character" w:customStyle="1" w:styleId="76">
    <w:name w:val="AttributeTok"/>
    <w:basedOn w:val="48"/>
    <w:uiPriority w:val="0"/>
    <w:rPr>
      <w:color w:val="7D9029"/>
    </w:rPr>
  </w:style>
  <w:style w:type="character" w:customStyle="1" w:styleId="77">
    <w:name w:val="RegionMarkerTok"/>
    <w:basedOn w:val="48"/>
    <w:uiPriority w:val="0"/>
  </w:style>
  <w:style w:type="character" w:customStyle="1" w:styleId="78">
    <w:name w:val="InformationTok"/>
    <w:basedOn w:val="48"/>
    <w:uiPriority w:val="0"/>
    <w:rPr>
      <w:b/>
      <w:i/>
      <w:color w:val="60A0B0"/>
    </w:rPr>
  </w:style>
  <w:style w:type="character" w:customStyle="1" w:styleId="79">
    <w:name w:val="WarningTok"/>
    <w:basedOn w:val="48"/>
    <w:uiPriority w:val="0"/>
    <w:rPr>
      <w:b/>
      <w:i/>
      <w:color w:val="60A0B0"/>
    </w:rPr>
  </w:style>
  <w:style w:type="character" w:customStyle="1" w:styleId="80">
    <w:name w:val="AlertTok"/>
    <w:basedOn w:val="48"/>
    <w:uiPriority w:val="0"/>
    <w:rPr>
      <w:b/>
      <w:color w:val="FF0000"/>
    </w:rPr>
  </w:style>
  <w:style w:type="character" w:customStyle="1" w:styleId="81">
    <w:name w:val="ErrorTok"/>
    <w:basedOn w:val="48"/>
    <w:uiPriority w:val="0"/>
    <w:rPr>
      <w:b/>
      <w:color w:val="FF0000"/>
    </w:rPr>
  </w:style>
  <w:style w:type="character" w:customStyle="1" w:styleId="82">
    <w:name w:val="NormalTok"/>
    <w:basedOn w:val="48"/>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409</Words>
  <Characters>3002</Characters>
  <Lines>12</Lines>
  <Paragraphs>8</Paragraphs>
  <TotalTime>8</TotalTime>
  <ScaleCrop>false</ScaleCrop>
  <LinksUpToDate>false</LinksUpToDate>
  <CharactersWithSpaces>3338</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2026-06-09T11:04:00Z</dcterms:created>
  <dc:creator>beka Zasul</dc:creator>
  <cp:lastModifiedBy>beka Zasul</cp:lastModifiedBy>
  <cp:lastPrinted>2026-06-09T15:56:03Z</cp:lastPrinted>
  <dcterms:modified xsi:type="dcterms:W3CDTF">2026-06-09T15:56:54Z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eyJoZGlkIjoiOTYyMjY1N2FjMzVkYTk0MmYyOThiMDdhZWVlNDRkMmQiLCJ1c2VySWQiOiI4ODEzOTA5NTQ2MTM0In0=</vt:lpwstr>
  </property>
  <property fmtid="{D5CDD505-2E9C-101B-9397-08002B2CF9AE}" pid="3" name="KSOProductBuildVer">
    <vt:lpwstr>1049-12.1.0.26880</vt:lpwstr>
  </property>
  <property fmtid="{D5CDD505-2E9C-101B-9397-08002B2CF9AE}" pid="4" name="ICV">
    <vt:lpwstr>415331B6399546819CCE30876DF32C82_12</vt:lpwstr>
  </property>
</Properties>
</file>